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1"/>
        <w:ind w:left="390" w:right="0" w:firstLine="0"/>
        <w:jc w:val="left"/>
        <w:rPr>
          <w:b/>
          <w:i/>
          <w:sz w:val="48"/>
        </w:rPr>
      </w:pPr>
      <w:r>
        <w:rPr/>
        <w:pict>
          <v:group style="position:absolute;margin-left:42.519684pt;margin-top:28.346315pt;width:524.450pt;height:771.05pt;mso-position-horizontal-relative:page;mso-position-vertical-relative:page;z-index:-95920" coordorigin="850,567" coordsize="10489,15421">
            <v:shape style="position:absolute;left:7920;top:2160;width:3419;height:13828" type="#_x0000_t75" stroked="false">
              <v:imagedata r:id="rId5" o:title=""/>
            </v:shape>
            <v:shape style="position:absolute;left:7937;top:566;width:2;height:15421" coordorigin="7937,567" coordsize="0,15421" path="m7937,567l7937,2098m7937,2198l7937,15987e" filled="false" stroked="true" strokeweight="5pt" strokecolor="#aaacaf">
              <v:path arrowok="t"/>
              <v:stroke dashstyle="solid"/>
            </v:shape>
            <v:line style="position:absolute" from="850,2148" to="11339,2148" stroked="true" strokeweight="5pt" strokecolor="#aaacaf">
              <v:stroke dashstyle="solid"/>
            </v:line>
            <v:shape style="position:absolute;left:850;top:14208;width:3686;height:927" type="#_x0000_t75" stroked="false">
              <v:imagedata r:id="rId6" o:title=""/>
            </v:shape>
            <w10:wrap type="none"/>
          </v:group>
        </w:pict>
      </w:r>
      <w:r>
        <w:rPr>
          <w:i/>
          <w:color w:val="231F20"/>
          <w:sz w:val="48"/>
        </w:rPr>
        <w:t>Marrickville </w:t>
      </w:r>
      <w:r>
        <w:rPr>
          <w:b/>
          <w:i/>
          <w:color w:val="231F20"/>
          <w:sz w:val="48"/>
        </w:rPr>
        <w:t>Urban Forest Strategy</w:t>
      </w:r>
    </w:p>
    <w:p>
      <w:pPr>
        <w:pStyle w:val="BodyText"/>
        <w:spacing w:before="9"/>
        <w:rPr>
          <w:b/>
          <w:i/>
          <w:sz w:val="24"/>
        </w:rPr>
      </w:pPr>
    </w:p>
    <w:p>
      <w:pPr>
        <w:spacing w:before="99"/>
        <w:ind w:left="390" w:right="0" w:firstLine="0"/>
        <w:jc w:val="left"/>
        <w:rPr>
          <w:sz w:val="25"/>
        </w:rPr>
      </w:pPr>
      <w:r>
        <w:rPr>
          <w:color w:val="231F20"/>
          <w:w w:val="90"/>
          <w:sz w:val="25"/>
        </w:rPr>
        <w:t>Advanced Issue</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2"/>
        </w:rPr>
      </w:pPr>
    </w:p>
    <w:p>
      <w:pPr>
        <w:spacing w:line="261" w:lineRule="auto" w:before="0"/>
        <w:ind w:left="390" w:right="7274" w:firstLine="0"/>
        <w:jc w:val="left"/>
        <w:rPr>
          <w:sz w:val="16"/>
        </w:rPr>
      </w:pPr>
      <w:r>
        <w:rPr>
          <w:color w:val="231F20"/>
          <w:sz w:val="16"/>
        </w:rPr>
        <w:t>Administrative Centre | 2-14 Fisher Street, Petersham  PO Box 14 PETERSHAM NSW 2049 | Phone: 9335</w:t>
      </w:r>
      <w:r>
        <w:rPr>
          <w:color w:val="231F20"/>
          <w:spacing w:val="-14"/>
          <w:sz w:val="16"/>
        </w:rPr>
        <w:t> </w:t>
      </w:r>
      <w:r>
        <w:rPr>
          <w:color w:val="231F20"/>
          <w:sz w:val="16"/>
        </w:rPr>
        <w:t>2222</w:t>
      </w:r>
    </w:p>
    <w:p>
      <w:pPr>
        <w:spacing w:line="183" w:lineRule="exact" w:before="0"/>
        <w:ind w:left="390" w:right="0" w:firstLine="0"/>
        <w:jc w:val="left"/>
        <w:rPr>
          <w:sz w:val="16"/>
        </w:rPr>
      </w:pPr>
      <w:hyperlink r:id="rId7">
        <w:r>
          <w:rPr>
            <w:color w:val="231F20"/>
            <w:sz w:val="16"/>
          </w:rPr>
          <w:t>council@marrickville.nsw.gov.au </w:t>
        </w:r>
      </w:hyperlink>
      <w:r>
        <w:rPr>
          <w:color w:val="231F20"/>
          <w:sz w:val="16"/>
        </w:rPr>
        <w:t>| </w:t>
      </w:r>
      <w:hyperlink r:id="rId8">
        <w:r>
          <w:rPr>
            <w:color w:val="231F20"/>
            <w:sz w:val="16"/>
          </w:rPr>
          <w:t>www.marrickville.nsw.gov.au</w:t>
        </w:r>
      </w:hyperlink>
    </w:p>
    <w:p>
      <w:pPr>
        <w:spacing w:after="0" w:line="183" w:lineRule="exact"/>
        <w:jc w:val="left"/>
        <w:rPr>
          <w:sz w:val="16"/>
        </w:rPr>
        <w:sectPr>
          <w:type w:val="continuous"/>
          <w:pgSz w:w="11910" w:h="16840"/>
          <w:pgMar w:top="1360" w:bottom="280" w:left="460" w:right="440"/>
        </w:sectPr>
      </w:pPr>
    </w:p>
    <w:p>
      <w:pPr>
        <w:pStyle w:val="BodyText"/>
        <w:spacing w:before="4"/>
        <w:rPr>
          <w:rFonts w:ascii="Times New Roman"/>
          <w:sz w:val="17"/>
        </w:rPr>
      </w:pPr>
    </w:p>
    <w:p>
      <w:pPr>
        <w:spacing w:after="0"/>
        <w:rPr>
          <w:rFonts w:ascii="Times New Roman"/>
          <w:sz w:val="17"/>
        </w:rPr>
        <w:sectPr>
          <w:pgSz w:w="11910" w:h="16840"/>
          <w:pgMar w:top="1580" w:bottom="280" w:left="460" w:right="440"/>
        </w:sectPr>
      </w:pPr>
    </w:p>
    <w:p>
      <w:pPr>
        <w:pStyle w:val="BodyText"/>
        <w:spacing w:before="3"/>
        <w:rPr>
          <w:rFonts w:ascii="Times New Roman"/>
          <w:sz w:val="30"/>
        </w:rPr>
      </w:pPr>
      <w:r>
        <w:rPr/>
        <w:pict>
          <v:group style="position:absolute;margin-left:42.5201pt;margin-top:28.346714pt;width:524.450pt;height:771.05pt;mso-position-horizontal-relative:page;mso-position-vertical-relative:page;z-index:-95896" coordorigin="850,567" coordsize="10489,15421">
            <v:line style="position:absolute" from="7942,567" to="7942,15987" stroked="true" strokeweight=".25pt" strokecolor="#808285">
              <v:stroke dashstyle="solid"/>
            </v:line>
            <v:line style="position:absolute" from="11339,2059" to="850,2059" stroked="true" strokeweight=".25pt" strokecolor="#808285">
              <v:stroke dashstyle="solid"/>
            </v:line>
            <w10:wrap type="none"/>
          </v:group>
        </w:pict>
      </w:r>
    </w:p>
    <w:p>
      <w:pPr>
        <w:pStyle w:val="Heading1"/>
      </w:pPr>
      <w:r>
        <w:rPr>
          <w:color w:val="231F20"/>
        </w:rPr>
        <w:t>TABLE OF CONTENTS</w:t>
      </w:r>
    </w:p>
    <w:sdt>
      <w:sdtPr>
        <w:docPartObj>
          <w:docPartGallery w:val="Table of Contents"/>
          <w:docPartUnique/>
        </w:docPartObj>
      </w:sdtPr>
      <w:sdtEndPr/>
      <w:sdtContent>
        <w:p>
          <w:pPr>
            <w:pStyle w:val="TOC1"/>
            <w:tabs>
              <w:tab w:pos="6955" w:val="right" w:leader="none"/>
            </w:tabs>
            <w:spacing w:before="654"/>
          </w:pPr>
          <w:hyperlink w:history="true" w:anchor="_TOC_250003">
            <w:r>
              <w:rPr>
                <w:color w:val="231F20"/>
                <w:spacing w:val="1"/>
              </w:rPr>
              <w:t>EXECUTIVE</w:t>
            </w:r>
            <w:r>
              <w:rPr>
                <w:color w:val="231F20"/>
                <w:spacing w:val="7"/>
              </w:rPr>
              <w:t> </w:t>
            </w:r>
            <w:r>
              <w:rPr>
                <w:color w:val="231F20"/>
                <w:spacing w:val="1"/>
              </w:rPr>
              <w:t>SUMMARY</w:t>
              <w:tab/>
            </w:r>
            <w:r>
              <w:rPr>
                <w:color w:val="231F20"/>
              </w:rPr>
              <w:t>1</w:t>
            </w:r>
          </w:hyperlink>
        </w:p>
        <w:p>
          <w:pPr>
            <w:pStyle w:val="TOC1"/>
            <w:numPr>
              <w:ilvl w:val="0"/>
              <w:numId w:val="1"/>
            </w:numPr>
            <w:tabs>
              <w:tab w:pos="674" w:val="left" w:leader="none"/>
              <w:tab w:pos="6955" w:val="right" w:leader="none"/>
            </w:tabs>
            <w:spacing w:line="240" w:lineRule="auto" w:before="370" w:after="0"/>
            <w:ind w:left="673" w:right="0" w:hanging="283"/>
            <w:jc w:val="left"/>
          </w:pPr>
          <w:hyperlink w:history="true" w:anchor="_TOC_250002">
            <w:r>
              <w:rPr>
                <w:color w:val="231F20"/>
                <w:spacing w:val="1"/>
              </w:rPr>
              <w:t>INTRODUCTION</w:t>
              <w:tab/>
            </w:r>
            <w:r>
              <w:rPr>
                <w:color w:val="231F20"/>
              </w:rPr>
              <w:t>3</w:t>
            </w:r>
          </w:hyperlink>
        </w:p>
        <w:p>
          <w:pPr>
            <w:pStyle w:val="TOC1"/>
            <w:numPr>
              <w:ilvl w:val="0"/>
              <w:numId w:val="1"/>
            </w:numPr>
            <w:tabs>
              <w:tab w:pos="674" w:val="left" w:leader="none"/>
              <w:tab w:pos="6955" w:val="right" w:leader="none"/>
            </w:tabs>
            <w:spacing w:line="240" w:lineRule="auto" w:before="371" w:after="0"/>
            <w:ind w:left="673" w:right="0" w:hanging="283"/>
            <w:jc w:val="left"/>
          </w:pPr>
          <w:hyperlink w:history="true" w:anchor="_TOC_250001">
            <w:r>
              <w:rPr>
                <w:color w:val="231F20"/>
              </w:rPr>
              <w:t>VALUES</w:t>
              <w:tab/>
              <w:t>5</w:t>
            </w:r>
          </w:hyperlink>
        </w:p>
        <w:p>
          <w:pPr>
            <w:pStyle w:val="TOC1"/>
            <w:numPr>
              <w:ilvl w:val="0"/>
              <w:numId w:val="1"/>
            </w:numPr>
            <w:tabs>
              <w:tab w:pos="674" w:val="left" w:leader="none"/>
              <w:tab w:pos="6955" w:val="right" w:leader="none"/>
            </w:tabs>
            <w:spacing w:line="240" w:lineRule="auto" w:before="370" w:after="0"/>
            <w:ind w:left="673" w:right="0" w:hanging="283"/>
            <w:jc w:val="left"/>
          </w:pPr>
          <w:hyperlink w:history="true" w:anchor="_TOC_250000">
            <w:r>
              <w:rPr>
                <w:color w:val="231F20"/>
                <w:spacing w:val="1"/>
              </w:rPr>
              <w:t>URBAN</w:t>
            </w:r>
            <w:r>
              <w:rPr>
                <w:color w:val="231F20"/>
                <w:spacing w:val="7"/>
              </w:rPr>
              <w:t> </w:t>
            </w:r>
            <w:r>
              <w:rPr>
                <w:color w:val="231F20"/>
                <w:spacing w:val="1"/>
              </w:rPr>
              <w:t>FOREST</w:t>
            </w:r>
            <w:r>
              <w:rPr>
                <w:color w:val="231F20"/>
                <w:spacing w:val="5"/>
              </w:rPr>
              <w:t> </w:t>
            </w:r>
            <w:r>
              <w:rPr>
                <w:color w:val="231F20"/>
              </w:rPr>
              <w:t>STRATEGY</w:t>
              <w:tab/>
              <w:t>9</w:t>
            </w:r>
          </w:hyperlink>
        </w:p>
        <w:p>
          <w:pPr>
            <w:pStyle w:val="TOC1"/>
            <w:numPr>
              <w:ilvl w:val="0"/>
              <w:numId w:val="1"/>
            </w:numPr>
            <w:tabs>
              <w:tab w:pos="674" w:val="left" w:leader="none"/>
              <w:tab w:pos="6997" w:val="right" w:leader="none"/>
            </w:tabs>
            <w:spacing w:line="240" w:lineRule="auto" w:before="371" w:after="0"/>
            <w:ind w:left="673" w:right="0" w:hanging="283"/>
            <w:jc w:val="left"/>
          </w:pPr>
          <w:r>
            <w:rPr>
              <w:color w:val="231F20"/>
              <w:spacing w:val="1"/>
            </w:rPr>
            <w:t>ACTION</w:t>
          </w:r>
          <w:r>
            <w:rPr>
              <w:color w:val="231F20"/>
              <w:spacing w:val="7"/>
            </w:rPr>
            <w:t> </w:t>
          </w:r>
          <w:r>
            <w:rPr>
              <w:color w:val="231F20"/>
              <w:spacing w:val="2"/>
            </w:rPr>
            <w:t>PLAN</w:t>
            <w:tab/>
          </w:r>
          <w:r>
            <w:rPr>
              <w:color w:val="231F20"/>
              <w:spacing w:val="-5"/>
            </w:rPr>
            <w:t>11</w:t>
          </w:r>
        </w:p>
        <w:p>
          <w:pPr>
            <w:pStyle w:val="TOC1"/>
            <w:tabs>
              <w:tab w:pos="7007" w:val="right" w:leader="none"/>
            </w:tabs>
          </w:pPr>
          <w:r>
            <w:rPr>
              <w:color w:val="231F20"/>
            </w:rPr>
            <w:t>5   </w:t>
          </w:r>
          <w:r>
            <w:rPr>
              <w:color w:val="231F20"/>
              <w:spacing w:val="8"/>
            </w:rPr>
            <w:t> </w:t>
          </w:r>
          <w:r>
            <w:rPr>
              <w:color w:val="231F20"/>
              <w:spacing w:val="2"/>
            </w:rPr>
            <w:t>APPENDICES</w:t>
            <w:tab/>
          </w:r>
          <w:r>
            <w:rPr>
              <w:color w:val="231F20"/>
            </w:rPr>
            <w:t>19</w:t>
          </w:r>
        </w:p>
        <w:p>
          <w:pPr>
            <w:pStyle w:val="TOC1"/>
            <w:tabs>
              <w:tab w:pos="7007" w:val="right" w:leader="none"/>
            </w:tabs>
            <w:spacing w:before="371"/>
          </w:pPr>
          <w:r>
            <w:rPr>
              <w:color w:val="231F20"/>
            </w:rPr>
            <w:t>5a </w:t>
          </w:r>
          <w:r>
            <w:rPr>
              <w:color w:val="231F20"/>
              <w:spacing w:val="5"/>
            </w:rPr>
            <w:t> </w:t>
          </w:r>
          <w:r>
            <w:rPr>
              <w:color w:val="231F20"/>
              <w:spacing w:val="2"/>
            </w:rPr>
            <w:t>BACKGROUND</w:t>
            <w:tab/>
          </w:r>
          <w:r>
            <w:rPr>
              <w:color w:val="231F20"/>
            </w:rPr>
            <w:t>20</w:t>
          </w:r>
        </w:p>
        <w:p>
          <w:pPr>
            <w:pStyle w:val="TOC1"/>
            <w:tabs>
              <w:tab w:pos="7007" w:val="right" w:leader="none"/>
            </w:tabs>
          </w:pPr>
          <w:r>
            <w:rPr>
              <w:color w:val="231F20"/>
            </w:rPr>
            <w:t>5b.</w:t>
          </w:r>
          <w:r>
            <w:rPr>
              <w:color w:val="231F20"/>
              <w:spacing w:val="0"/>
            </w:rPr>
            <w:t> </w:t>
          </w:r>
          <w:r>
            <w:rPr>
              <w:color w:val="231F20"/>
            </w:rPr>
            <w:t>GLOSSARY</w:t>
            <w:tab/>
            <w:t>28</w:t>
          </w:r>
        </w:p>
        <w:p>
          <w:pPr>
            <w:pStyle w:val="TOC1"/>
            <w:tabs>
              <w:tab w:pos="7007" w:val="right" w:leader="none"/>
            </w:tabs>
            <w:spacing w:before="371"/>
          </w:pPr>
          <w:r>
            <w:rPr>
              <w:color w:val="231F20"/>
            </w:rPr>
            <w:t>5c.</w:t>
          </w:r>
          <w:r>
            <w:rPr>
              <w:color w:val="231F20"/>
              <w:spacing w:val="10"/>
            </w:rPr>
            <w:t> </w:t>
          </w:r>
          <w:r>
            <w:rPr>
              <w:color w:val="231F20"/>
              <w:spacing w:val="1"/>
            </w:rPr>
            <w:t>REFERENCE</w:t>
          </w:r>
          <w:r>
            <w:rPr>
              <w:color w:val="231F20"/>
              <w:spacing w:val="7"/>
            </w:rPr>
            <w:t> </w:t>
          </w:r>
          <w:r>
            <w:rPr>
              <w:color w:val="231F20"/>
            </w:rPr>
            <w:t>LIST</w:t>
            <w:tab/>
            <w:t>30</w:t>
          </w:r>
        </w:p>
        <w:p>
          <w:pPr>
            <w:pStyle w:val="TOC1"/>
            <w:tabs>
              <w:tab w:pos="7007" w:val="right" w:leader="none"/>
            </w:tabs>
          </w:pPr>
          <w:r>
            <w:rPr>
              <w:color w:val="231F20"/>
            </w:rPr>
            <w:t>5d. </w:t>
          </w:r>
          <w:r>
            <w:rPr>
              <w:color w:val="231F20"/>
              <w:spacing w:val="1"/>
            </w:rPr>
            <w:t>TREE </w:t>
          </w:r>
          <w:r>
            <w:rPr>
              <w:color w:val="231F20"/>
            </w:rPr>
            <w:t>LAW </w:t>
          </w:r>
          <w:r>
            <w:rPr>
              <w:color w:val="231F20"/>
              <w:spacing w:val="1"/>
            </w:rPr>
            <w:t>ACTS</w:t>
          </w:r>
          <w:r>
            <w:rPr>
              <w:color w:val="231F20"/>
              <w:spacing w:val="7"/>
            </w:rPr>
            <w:t> </w:t>
          </w:r>
          <w:r>
            <w:rPr>
              <w:color w:val="231F20"/>
            </w:rPr>
            <w:t>AND</w:t>
          </w:r>
          <w:r>
            <w:rPr>
              <w:color w:val="231F20"/>
              <w:spacing w:val="7"/>
            </w:rPr>
            <w:t> </w:t>
          </w:r>
          <w:r>
            <w:rPr>
              <w:color w:val="231F20"/>
            </w:rPr>
            <w:t>REGULATION</w:t>
            <w:tab/>
            <w:t>31</w:t>
          </w:r>
        </w:p>
      </w:sdtContent>
    </w:sdt>
    <w:p>
      <w:pPr>
        <w:spacing w:before="86"/>
        <w:ind w:left="771" w:right="0" w:firstLine="0"/>
        <w:jc w:val="left"/>
        <w:rPr>
          <w:i/>
          <w:sz w:val="24"/>
        </w:rPr>
      </w:pPr>
      <w:r>
        <w:rPr/>
        <w:br w:type="column"/>
      </w:r>
      <w:r>
        <w:rPr>
          <w:i/>
          <w:color w:val="231F20"/>
          <w:sz w:val="24"/>
        </w:rPr>
        <w:t>Marrickville Council</w:t>
      </w:r>
    </w:p>
    <w:p>
      <w:pPr>
        <w:spacing w:before="25"/>
        <w:ind w:left="390" w:right="0" w:firstLine="0"/>
        <w:jc w:val="left"/>
        <w:rPr>
          <w:b/>
          <w:i/>
          <w:sz w:val="24"/>
        </w:rPr>
      </w:pPr>
      <w:r>
        <w:rPr>
          <w:b/>
          <w:i/>
          <w:color w:val="231F20"/>
          <w:sz w:val="24"/>
        </w:rPr>
        <w:t>Urban  Forest Strategy</w:t>
      </w:r>
    </w:p>
    <w:p>
      <w:pPr>
        <w:spacing w:after="0"/>
        <w:jc w:val="left"/>
        <w:rPr>
          <w:sz w:val="24"/>
        </w:rPr>
        <w:sectPr>
          <w:footerReference w:type="default" r:id="rId9"/>
          <w:pgSz w:w="11910" w:h="16840"/>
          <w:pgMar w:footer="779" w:header="0" w:top="1280" w:bottom="960" w:left="460" w:right="440"/>
          <w:cols w:num="2" w:equalWidth="0">
            <w:col w:w="7048" w:space="331"/>
            <w:col w:w="3631"/>
          </w:cols>
        </w:sectPr>
      </w:pPr>
    </w:p>
    <w:p>
      <w:pPr>
        <w:pStyle w:val="BodyText"/>
        <w:spacing w:before="4"/>
        <w:rPr>
          <w:rFonts w:ascii="Times New Roman"/>
          <w:sz w:val="17"/>
        </w:rPr>
      </w:pPr>
    </w:p>
    <w:p>
      <w:pPr>
        <w:spacing w:after="0"/>
        <w:rPr>
          <w:rFonts w:ascii="Times New Roman"/>
          <w:sz w:val="17"/>
        </w:rPr>
        <w:sectPr>
          <w:footerReference w:type="even" r:id="rId10"/>
          <w:pgSz w:w="11910" w:h="16840"/>
          <w:pgMar w:footer="0" w:header="0" w:top="1580" w:bottom="280" w:left="460" w:right="440"/>
        </w:sectPr>
      </w:pPr>
    </w:p>
    <w:p>
      <w:pPr>
        <w:pStyle w:val="BodyText"/>
        <w:spacing w:before="3"/>
        <w:rPr>
          <w:rFonts w:ascii="Times New Roman"/>
          <w:sz w:val="30"/>
        </w:rPr>
      </w:pPr>
      <w:r>
        <w:rPr/>
        <w:pict>
          <v:group style="position:absolute;margin-left:42.5201pt;margin-top:28.346714pt;width:524.450pt;height:771.05pt;mso-position-horizontal-relative:page;mso-position-vertical-relative:page;z-index:-95872" coordorigin="850,567" coordsize="10489,15421">
            <v:line style="position:absolute" from="7942,567" to="7942,15987" stroked="true" strokeweight=".25pt" strokecolor="#808285">
              <v:stroke dashstyle="solid"/>
            </v:line>
            <v:line style="position:absolute" from="11339,2059" to="850,2059" stroked="true" strokeweight=".25pt" strokecolor="#808285">
              <v:stroke dashstyle="solid"/>
            </v:line>
            <w10:wrap type="none"/>
          </v:group>
        </w:pict>
      </w:r>
    </w:p>
    <w:p>
      <w:pPr>
        <w:spacing w:before="0"/>
        <w:ind w:left="390" w:right="0" w:firstLine="0"/>
        <w:jc w:val="left"/>
        <w:rPr>
          <w:b/>
          <w:sz w:val="28"/>
        </w:rPr>
      </w:pPr>
      <w:r>
        <w:rPr>
          <w:b/>
          <w:color w:val="231F20"/>
          <w:sz w:val="28"/>
        </w:rPr>
        <w:t>LIST OF FIGURES</w:t>
      </w:r>
    </w:p>
    <w:p>
      <w:pPr>
        <w:pStyle w:val="BodyText"/>
        <w:spacing w:before="3"/>
        <w:rPr>
          <w:b/>
          <w:sz w:val="44"/>
        </w:rPr>
      </w:pPr>
    </w:p>
    <w:p>
      <w:pPr>
        <w:tabs>
          <w:tab w:pos="6350" w:val="left" w:leader="none"/>
        </w:tabs>
        <w:spacing w:before="0"/>
        <w:ind w:left="390" w:right="0" w:firstLine="0"/>
        <w:jc w:val="left"/>
        <w:rPr>
          <w:sz w:val="16"/>
        </w:rPr>
      </w:pPr>
      <w:r>
        <w:rPr>
          <w:color w:val="231F20"/>
          <w:sz w:val="16"/>
        </w:rPr>
        <w:t>Figure 1. Jacarandas in bloom - Cardigan</w:t>
      </w:r>
      <w:r>
        <w:rPr>
          <w:color w:val="231F20"/>
          <w:spacing w:val="-14"/>
          <w:sz w:val="16"/>
        </w:rPr>
        <w:t> </w:t>
      </w:r>
      <w:r>
        <w:rPr>
          <w:color w:val="231F20"/>
          <w:sz w:val="16"/>
        </w:rPr>
        <w:t>Street,</w:t>
      </w:r>
      <w:r>
        <w:rPr>
          <w:color w:val="231F20"/>
          <w:spacing w:val="-2"/>
          <w:sz w:val="16"/>
        </w:rPr>
        <w:t> </w:t>
      </w:r>
      <w:r>
        <w:rPr>
          <w:color w:val="231F20"/>
          <w:sz w:val="16"/>
        </w:rPr>
        <w:t>Camperdown</w:t>
        <w:tab/>
        <w:t>1</w:t>
      </w:r>
    </w:p>
    <w:p>
      <w:pPr>
        <w:tabs>
          <w:tab w:pos="6350" w:val="left" w:leader="none"/>
        </w:tabs>
        <w:spacing w:before="136"/>
        <w:ind w:left="390" w:right="0" w:firstLine="0"/>
        <w:jc w:val="left"/>
        <w:rPr>
          <w:sz w:val="16"/>
        </w:rPr>
      </w:pPr>
      <w:r>
        <w:rPr>
          <w:color w:val="231F20"/>
          <w:sz w:val="16"/>
        </w:rPr>
        <w:t>Figure 2. Plane Tree Avenue to Williams Parade,</w:t>
      </w:r>
      <w:r>
        <w:rPr>
          <w:color w:val="231F20"/>
          <w:spacing w:val="-24"/>
          <w:sz w:val="16"/>
        </w:rPr>
        <w:t> </w:t>
      </w:r>
      <w:r>
        <w:rPr>
          <w:color w:val="231F20"/>
          <w:sz w:val="16"/>
        </w:rPr>
        <w:t>Dulwich</w:t>
      </w:r>
      <w:r>
        <w:rPr>
          <w:color w:val="231F20"/>
          <w:spacing w:val="-2"/>
          <w:sz w:val="16"/>
        </w:rPr>
        <w:t> </w:t>
      </w:r>
      <w:r>
        <w:rPr>
          <w:color w:val="231F20"/>
          <w:sz w:val="16"/>
        </w:rPr>
        <w:t>Hill</w:t>
        <w:tab/>
        <w:t>3</w:t>
      </w:r>
    </w:p>
    <w:p>
      <w:pPr>
        <w:tabs>
          <w:tab w:pos="6350" w:val="left" w:leader="none"/>
        </w:tabs>
        <w:spacing w:before="137"/>
        <w:ind w:left="390" w:right="0" w:firstLine="0"/>
        <w:jc w:val="left"/>
        <w:rPr>
          <w:sz w:val="16"/>
        </w:rPr>
      </w:pPr>
      <w:r>
        <w:rPr>
          <w:color w:val="231F20"/>
          <w:sz w:val="16"/>
        </w:rPr>
        <w:t>Figure 3. Jacarandas, Cardigan</w:t>
      </w:r>
      <w:r>
        <w:rPr>
          <w:color w:val="231F20"/>
          <w:spacing w:val="-8"/>
          <w:sz w:val="16"/>
        </w:rPr>
        <w:t> </w:t>
      </w:r>
      <w:r>
        <w:rPr>
          <w:color w:val="231F20"/>
          <w:sz w:val="16"/>
        </w:rPr>
        <w:t>Street,</w:t>
      </w:r>
      <w:r>
        <w:rPr>
          <w:color w:val="231F20"/>
          <w:spacing w:val="-2"/>
          <w:sz w:val="16"/>
        </w:rPr>
        <w:t> </w:t>
      </w:r>
      <w:r>
        <w:rPr>
          <w:color w:val="231F20"/>
          <w:sz w:val="16"/>
        </w:rPr>
        <w:t>Camperdown</w:t>
        <w:tab/>
        <w:t>5</w:t>
      </w:r>
    </w:p>
    <w:p>
      <w:pPr>
        <w:tabs>
          <w:tab w:pos="6350" w:val="left" w:leader="none"/>
        </w:tabs>
        <w:spacing w:before="136"/>
        <w:ind w:left="390" w:right="0" w:firstLine="0"/>
        <w:jc w:val="left"/>
        <w:rPr>
          <w:sz w:val="16"/>
        </w:rPr>
      </w:pPr>
      <w:r>
        <w:rPr>
          <w:color w:val="231F20"/>
          <w:sz w:val="16"/>
        </w:rPr>
        <w:t>Figure 4. Community usage</w:t>
      </w:r>
      <w:r>
        <w:rPr>
          <w:color w:val="231F20"/>
          <w:spacing w:val="-8"/>
          <w:sz w:val="16"/>
        </w:rPr>
        <w:t> </w:t>
      </w:r>
      <w:r>
        <w:rPr>
          <w:color w:val="231F20"/>
          <w:sz w:val="16"/>
        </w:rPr>
        <w:t>of</w:t>
      </w:r>
      <w:r>
        <w:rPr>
          <w:color w:val="231F20"/>
          <w:spacing w:val="-3"/>
          <w:sz w:val="16"/>
        </w:rPr>
        <w:t> </w:t>
      </w:r>
      <w:r>
        <w:rPr>
          <w:color w:val="231F20"/>
          <w:sz w:val="16"/>
        </w:rPr>
        <w:t>parks</w:t>
        <w:tab/>
        <w:t>6</w:t>
      </w:r>
    </w:p>
    <w:p>
      <w:pPr>
        <w:tabs>
          <w:tab w:pos="6350" w:val="left" w:leader="none"/>
        </w:tabs>
        <w:spacing w:before="137"/>
        <w:ind w:left="390" w:right="0" w:firstLine="0"/>
        <w:jc w:val="left"/>
        <w:rPr>
          <w:sz w:val="16"/>
        </w:rPr>
      </w:pPr>
      <w:r>
        <w:rPr>
          <w:color w:val="231F20"/>
          <w:sz w:val="16"/>
        </w:rPr>
        <w:t>Figure 5. Large Tree in Petersham Park, Petersham</w:t>
      </w:r>
      <w:r>
        <w:rPr>
          <w:color w:val="231F20"/>
          <w:spacing w:val="-25"/>
          <w:sz w:val="16"/>
        </w:rPr>
        <w:t> </w:t>
      </w:r>
      <w:r>
        <w:rPr>
          <w:color w:val="231F20"/>
          <w:sz w:val="16"/>
        </w:rPr>
        <w:t>shading</w:t>
      </w:r>
      <w:r>
        <w:rPr>
          <w:color w:val="231F20"/>
          <w:spacing w:val="-4"/>
          <w:sz w:val="16"/>
        </w:rPr>
        <w:t> </w:t>
      </w:r>
      <w:r>
        <w:rPr>
          <w:color w:val="231F20"/>
          <w:sz w:val="16"/>
        </w:rPr>
        <w:t>playground.</w:t>
        <w:tab/>
        <w:t>7</w:t>
      </w:r>
    </w:p>
    <w:p>
      <w:pPr>
        <w:pStyle w:val="BodyText"/>
        <w:spacing w:before="6"/>
        <w:rPr>
          <w:sz w:val="19"/>
        </w:rPr>
      </w:pPr>
    </w:p>
    <w:p>
      <w:pPr>
        <w:tabs>
          <w:tab w:pos="6350" w:val="left" w:leader="none"/>
        </w:tabs>
        <w:spacing w:before="0"/>
        <w:ind w:left="390" w:right="0" w:firstLine="0"/>
        <w:jc w:val="left"/>
        <w:rPr>
          <w:sz w:val="16"/>
        </w:rPr>
      </w:pPr>
      <w:r>
        <w:rPr>
          <w:color w:val="231F20"/>
          <w:sz w:val="16"/>
        </w:rPr>
        <w:t>Figure</w:t>
      </w:r>
      <w:r>
        <w:rPr>
          <w:color w:val="231F20"/>
          <w:spacing w:val="-4"/>
          <w:sz w:val="16"/>
        </w:rPr>
        <w:t> </w:t>
      </w:r>
      <w:r>
        <w:rPr>
          <w:color w:val="231F20"/>
          <w:sz w:val="16"/>
        </w:rPr>
        <w:t>6.</w:t>
      </w:r>
      <w:r>
        <w:rPr>
          <w:color w:val="231F20"/>
          <w:spacing w:val="-5"/>
          <w:sz w:val="16"/>
        </w:rPr>
        <w:t> </w:t>
      </w:r>
      <w:r>
        <w:rPr>
          <w:color w:val="231F20"/>
          <w:sz w:val="16"/>
        </w:rPr>
        <w:t>Marrickville</w:t>
      </w:r>
      <w:r>
        <w:rPr>
          <w:color w:val="231F20"/>
          <w:spacing w:val="-5"/>
          <w:sz w:val="16"/>
        </w:rPr>
        <w:t> </w:t>
      </w:r>
      <w:r>
        <w:rPr>
          <w:color w:val="231F20"/>
          <w:sz w:val="16"/>
        </w:rPr>
        <w:t>Road.</w:t>
      </w:r>
      <w:r>
        <w:rPr>
          <w:color w:val="231F20"/>
          <w:spacing w:val="-4"/>
          <w:sz w:val="16"/>
        </w:rPr>
        <w:t> </w:t>
      </w:r>
      <w:r>
        <w:rPr>
          <w:color w:val="231F20"/>
          <w:sz w:val="16"/>
        </w:rPr>
        <w:t>Street</w:t>
      </w:r>
      <w:r>
        <w:rPr>
          <w:color w:val="231F20"/>
          <w:spacing w:val="-4"/>
          <w:sz w:val="16"/>
        </w:rPr>
        <w:t> </w:t>
      </w:r>
      <w:r>
        <w:rPr>
          <w:color w:val="231F20"/>
          <w:sz w:val="16"/>
        </w:rPr>
        <w:t>trees</w:t>
      </w:r>
      <w:r>
        <w:rPr>
          <w:color w:val="231F20"/>
          <w:spacing w:val="-5"/>
          <w:sz w:val="16"/>
        </w:rPr>
        <w:t> </w:t>
      </w:r>
      <w:r>
        <w:rPr>
          <w:color w:val="231F20"/>
          <w:sz w:val="16"/>
        </w:rPr>
        <w:t>planted</w:t>
      </w:r>
      <w:r>
        <w:rPr>
          <w:color w:val="231F20"/>
          <w:spacing w:val="-5"/>
          <w:sz w:val="16"/>
        </w:rPr>
        <w:t> </w:t>
      </w:r>
      <w:r>
        <w:rPr>
          <w:color w:val="231F20"/>
          <w:sz w:val="16"/>
        </w:rPr>
        <w:t>along</w:t>
      </w:r>
      <w:r>
        <w:rPr>
          <w:color w:val="231F20"/>
          <w:spacing w:val="-5"/>
          <w:sz w:val="16"/>
        </w:rPr>
        <w:t> </w:t>
      </w:r>
      <w:r>
        <w:rPr>
          <w:color w:val="231F20"/>
          <w:sz w:val="16"/>
        </w:rPr>
        <w:t>main</w:t>
      </w:r>
      <w:r>
        <w:rPr>
          <w:color w:val="231F20"/>
          <w:spacing w:val="-5"/>
          <w:sz w:val="16"/>
        </w:rPr>
        <w:t> </w:t>
      </w:r>
      <w:r>
        <w:rPr>
          <w:color w:val="231F20"/>
          <w:sz w:val="16"/>
        </w:rPr>
        <w:t>shopping</w:t>
      </w:r>
      <w:r>
        <w:rPr>
          <w:color w:val="231F20"/>
          <w:spacing w:val="-5"/>
          <w:sz w:val="16"/>
        </w:rPr>
        <w:t> </w:t>
      </w:r>
      <w:r>
        <w:rPr>
          <w:color w:val="231F20"/>
          <w:sz w:val="16"/>
        </w:rPr>
        <w:t>precinct</w:t>
        <w:tab/>
        <w:t>8</w:t>
      </w:r>
    </w:p>
    <w:p>
      <w:pPr>
        <w:tabs>
          <w:tab w:pos="6350" w:val="left" w:leader="none"/>
        </w:tabs>
        <w:spacing w:before="136"/>
        <w:ind w:left="390" w:right="0" w:firstLine="0"/>
        <w:jc w:val="left"/>
        <w:rPr>
          <w:sz w:val="16"/>
        </w:rPr>
      </w:pPr>
      <w:r>
        <w:rPr>
          <w:color w:val="231F20"/>
          <w:sz w:val="16"/>
        </w:rPr>
        <w:t>Figure 7. Urban Forest</w:t>
      </w:r>
      <w:r>
        <w:rPr>
          <w:color w:val="231F20"/>
          <w:spacing w:val="-2"/>
          <w:sz w:val="16"/>
        </w:rPr>
        <w:t> </w:t>
      </w:r>
      <w:r>
        <w:rPr>
          <w:color w:val="231F20"/>
          <w:sz w:val="16"/>
        </w:rPr>
        <w:t>Council</w:t>
      </w:r>
      <w:r>
        <w:rPr>
          <w:color w:val="231F20"/>
          <w:spacing w:val="-1"/>
          <w:sz w:val="16"/>
        </w:rPr>
        <w:t> </w:t>
      </w:r>
      <w:r>
        <w:rPr>
          <w:color w:val="231F20"/>
          <w:sz w:val="16"/>
        </w:rPr>
        <w:t>Co-ordination</w:t>
        <w:tab/>
        <w:t>10</w:t>
      </w:r>
    </w:p>
    <w:p>
      <w:pPr>
        <w:spacing w:before="137"/>
        <w:ind w:left="390" w:right="0" w:firstLine="0"/>
        <w:jc w:val="left"/>
        <w:rPr>
          <w:sz w:val="16"/>
        </w:rPr>
      </w:pPr>
      <w:r>
        <w:rPr>
          <w:color w:val="231F20"/>
          <w:sz w:val="16"/>
        </w:rPr>
        <w:t>Figure 8. Ficus macrophylla - the oldest living tree in Marrickville (1856)</w:t>
      </w:r>
    </w:p>
    <w:p>
      <w:pPr>
        <w:tabs>
          <w:tab w:pos="6350" w:val="left" w:leader="none"/>
        </w:tabs>
        <w:spacing w:before="16"/>
        <w:ind w:left="957" w:right="0" w:firstLine="0"/>
        <w:jc w:val="left"/>
        <w:rPr>
          <w:sz w:val="16"/>
        </w:rPr>
      </w:pPr>
      <w:r>
        <w:rPr>
          <w:color w:val="231F20"/>
          <w:sz w:val="16"/>
        </w:rPr>
        <w:t>at St Stephen’s</w:t>
      </w:r>
      <w:r>
        <w:rPr>
          <w:color w:val="231F20"/>
          <w:spacing w:val="-4"/>
          <w:sz w:val="16"/>
        </w:rPr>
        <w:t> </w:t>
      </w:r>
      <w:r>
        <w:rPr>
          <w:color w:val="231F20"/>
          <w:sz w:val="16"/>
        </w:rPr>
        <w:t>Cemetery</w:t>
      </w:r>
      <w:r>
        <w:rPr>
          <w:color w:val="231F20"/>
          <w:spacing w:val="-1"/>
          <w:sz w:val="16"/>
        </w:rPr>
        <w:t> </w:t>
      </w:r>
      <w:r>
        <w:rPr>
          <w:color w:val="231F20"/>
          <w:sz w:val="16"/>
        </w:rPr>
        <w:t>Newtown</w:t>
        <w:tab/>
        <w:t>20</w:t>
      </w:r>
    </w:p>
    <w:p>
      <w:pPr>
        <w:spacing w:before="137"/>
        <w:ind w:left="390" w:right="0" w:firstLine="0"/>
        <w:jc w:val="left"/>
        <w:rPr>
          <w:sz w:val="16"/>
        </w:rPr>
      </w:pPr>
      <w:r>
        <w:rPr>
          <w:color w:val="231F20"/>
          <w:sz w:val="16"/>
        </w:rPr>
        <w:t>Figure 9. Enmore Park, Enmore, c. 1936 (Photographer Unknown, c. 1936, Marrickville</w:t>
      </w:r>
    </w:p>
    <w:p>
      <w:pPr>
        <w:tabs>
          <w:tab w:pos="6350" w:val="left" w:leader="none"/>
        </w:tabs>
        <w:spacing w:before="16"/>
        <w:ind w:left="957" w:right="0" w:firstLine="0"/>
        <w:jc w:val="left"/>
        <w:rPr>
          <w:sz w:val="16"/>
        </w:rPr>
      </w:pPr>
      <w:r>
        <w:rPr>
          <w:color w:val="231F20"/>
          <w:sz w:val="16"/>
        </w:rPr>
        <w:t>Library Services — Local Studies Images</w:t>
      </w:r>
      <w:r>
        <w:rPr>
          <w:color w:val="231F20"/>
          <w:spacing w:val="-20"/>
          <w:sz w:val="16"/>
        </w:rPr>
        <w:t> </w:t>
      </w:r>
      <w:r>
        <w:rPr>
          <w:color w:val="231F20"/>
          <w:sz w:val="16"/>
        </w:rPr>
        <w:t>Database</w:t>
      </w:r>
      <w:r>
        <w:rPr>
          <w:color w:val="231F20"/>
          <w:spacing w:val="-3"/>
          <w:sz w:val="16"/>
        </w:rPr>
        <w:t> </w:t>
      </w:r>
      <w:r>
        <w:rPr>
          <w:color w:val="231F20"/>
          <w:sz w:val="16"/>
        </w:rPr>
        <w:t>000/000574)</w:t>
        <w:tab/>
        <w:t>20</w:t>
      </w:r>
    </w:p>
    <w:p>
      <w:pPr>
        <w:tabs>
          <w:tab w:pos="6350" w:val="left" w:leader="none"/>
        </w:tabs>
        <w:spacing w:before="136"/>
        <w:ind w:left="390" w:right="0" w:firstLine="0"/>
        <w:jc w:val="left"/>
        <w:rPr>
          <w:sz w:val="16"/>
        </w:rPr>
      </w:pPr>
      <w:r>
        <w:rPr>
          <w:color w:val="231F20"/>
          <w:sz w:val="16"/>
        </w:rPr>
        <w:t>Figure 10. Enmore</w:t>
      </w:r>
      <w:r>
        <w:rPr>
          <w:color w:val="231F20"/>
          <w:spacing w:val="-2"/>
          <w:sz w:val="16"/>
        </w:rPr>
        <w:t> </w:t>
      </w:r>
      <w:r>
        <w:rPr>
          <w:color w:val="231F20"/>
          <w:sz w:val="16"/>
        </w:rPr>
        <w:t>Park,</w:t>
      </w:r>
      <w:r>
        <w:rPr>
          <w:color w:val="231F20"/>
          <w:spacing w:val="-1"/>
          <w:sz w:val="16"/>
        </w:rPr>
        <w:t> </w:t>
      </w:r>
      <w:r>
        <w:rPr>
          <w:color w:val="231F20"/>
          <w:sz w:val="16"/>
        </w:rPr>
        <w:t>Enmore</w:t>
        <w:tab/>
        <w:t>20</w:t>
      </w:r>
    </w:p>
    <w:p>
      <w:pPr>
        <w:spacing w:before="137"/>
        <w:ind w:left="390" w:right="0" w:firstLine="0"/>
        <w:jc w:val="left"/>
        <w:rPr>
          <w:sz w:val="16"/>
        </w:rPr>
      </w:pPr>
      <w:r>
        <w:rPr>
          <w:color w:val="231F20"/>
          <w:sz w:val="16"/>
        </w:rPr>
        <w:t>Figure 11. Henson Park , Marrickville, c. 1936 (Photographer Unknown, c. 1936, Marrickville</w:t>
      </w:r>
    </w:p>
    <w:p>
      <w:pPr>
        <w:tabs>
          <w:tab w:pos="6350" w:val="left" w:leader="none"/>
        </w:tabs>
        <w:spacing w:before="16"/>
        <w:ind w:left="957" w:right="0" w:firstLine="0"/>
        <w:jc w:val="left"/>
        <w:rPr>
          <w:sz w:val="16"/>
        </w:rPr>
      </w:pPr>
      <w:r>
        <w:rPr>
          <w:color w:val="231F20"/>
          <w:sz w:val="16"/>
        </w:rPr>
        <w:t>Library Services — Local Studies Images</w:t>
      </w:r>
      <w:r>
        <w:rPr>
          <w:color w:val="231F20"/>
          <w:spacing w:val="-20"/>
          <w:sz w:val="16"/>
        </w:rPr>
        <w:t> </w:t>
      </w:r>
      <w:r>
        <w:rPr>
          <w:color w:val="231F20"/>
          <w:sz w:val="16"/>
        </w:rPr>
        <w:t>Database</w:t>
      </w:r>
      <w:r>
        <w:rPr>
          <w:color w:val="231F20"/>
          <w:spacing w:val="-3"/>
          <w:sz w:val="16"/>
        </w:rPr>
        <w:t> </w:t>
      </w:r>
      <w:r>
        <w:rPr>
          <w:color w:val="231F20"/>
          <w:sz w:val="16"/>
        </w:rPr>
        <w:t>000/000858)</w:t>
        <w:tab/>
        <w:t>21</w:t>
      </w:r>
    </w:p>
    <w:p>
      <w:pPr>
        <w:tabs>
          <w:tab w:pos="6350" w:val="left" w:leader="none"/>
        </w:tabs>
        <w:spacing w:before="137"/>
        <w:ind w:left="390" w:right="0" w:firstLine="0"/>
        <w:jc w:val="left"/>
        <w:rPr>
          <w:sz w:val="16"/>
        </w:rPr>
      </w:pPr>
      <w:r>
        <w:rPr>
          <w:color w:val="231F20"/>
          <w:sz w:val="16"/>
        </w:rPr>
        <w:t>Figure 12. Henson Park</w:t>
      </w:r>
      <w:r>
        <w:rPr>
          <w:color w:val="231F20"/>
          <w:spacing w:val="-9"/>
          <w:sz w:val="16"/>
        </w:rPr>
        <w:t> </w:t>
      </w:r>
      <w:r>
        <w:rPr>
          <w:color w:val="231F20"/>
          <w:sz w:val="16"/>
        </w:rPr>
        <w:t>,</w:t>
      </w:r>
      <w:r>
        <w:rPr>
          <w:color w:val="231F20"/>
          <w:spacing w:val="-3"/>
          <w:sz w:val="16"/>
        </w:rPr>
        <w:t> </w:t>
      </w:r>
      <w:r>
        <w:rPr>
          <w:color w:val="231F20"/>
          <w:sz w:val="16"/>
        </w:rPr>
        <w:t>Marrickville</w:t>
        <w:tab/>
        <w:t>21</w:t>
      </w:r>
    </w:p>
    <w:p>
      <w:pPr>
        <w:spacing w:before="136"/>
        <w:ind w:left="390" w:right="0" w:firstLine="0"/>
        <w:jc w:val="left"/>
        <w:rPr>
          <w:sz w:val="16"/>
        </w:rPr>
      </w:pPr>
      <w:r>
        <w:rPr>
          <w:color w:val="231F20"/>
          <w:sz w:val="16"/>
        </w:rPr>
        <w:t>Figure 13. Canonbury Grove, Dulwich Hill, c. 1936 (Photographer Unknown, c. 1936, Marrickville</w:t>
      </w:r>
    </w:p>
    <w:p>
      <w:pPr>
        <w:tabs>
          <w:tab w:pos="6350" w:val="left" w:leader="none"/>
        </w:tabs>
        <w:spacing w:before="16"/>
        <w:ind w:left="957" w:right="0" w:firstLine="0"/>
        <w:jc w:val="left"/>
        <w:rPr>
          <w:sz w:val="16"/>
        </w:rPr>
      </w:pPr>
      <w:r>
        <w:rPr>
          <w:color w:val="231F20"/>
          <w:sz w:val="16"/>
        </w:rPr>
        <w:t>Library services — Local Studies Images</w:t>
      </w:r>
      <w:r>
        <w:rPr>
          <w:color w:val="231F20"/>
          <w:spacing w:val="-26"/>
          <w:sz w:val="16"/>
        </w:rPr>
        <w:t> </w:t>
      </w:r>
      <w:r>
        <w:rPr>
          <w:color w:val="231F20"/>
          <w:sz w:val="16"/>
        </w:rPr>
        <w:t>Database</w:t>
      </w:r>
      <w:r>
        <w:rPr>
          <w:color w:val="231F20"/>
          <w:spacing w:val="-4"/>
          <w:sz w:val="16"/>
        </w:rPr>
        <w:t> </w:t>
      </w:r>
      <w:r>
        <w:rPr>
          <w:color w:val="231F20"/>
          <w:sz w:val="16"/>
        </w:rPr>
        <w:t>000/000251).</w:t>
        <w:tab/>
        <w:t>21</w:t>
      </w:r>
    </w:p>
    <w:p>
      <w:pPr>
        <w:tabs>
          <w:tab w:pos="6350" w:val="left" w:leader="none"/>
        </w:tabs>
        <w:spacing w:before="137"/>
        <w:ind w:left="390" w:right="0" w:firstLine="0"/>
        <w:jc w:val="left"/>
        <w:rPr>
          <w:sz w:val="16"/>
        </w:rPr>
      </w:pPr>
      <w:r>
        <w:rPr>
          <w:color w:val="231F20"/>
          <w:sz w:val="16"/>
        </w:rPr>
        <w:t>Figure 14. Canonbury Grove,</w:t>
      </w:r>
      <w:r>
        <w:rPr>
          <w:color w:val="231F20"/>
          <w:spacing w:val="-6"/>
          <w:sz w:val="16"/>
        </w:rPr>
        <w:t> </w:t>
      </w:r>
      <w:r>
        <w:rPr>
          <w:color w:val="231F20"/>
          <w:sz w:val="16"/>
        </w:rPr>
        <w:t>Dulwich</w:t>
      </w:r>
      <w:r>
        <w:rPr>
          <w:color w:val="231F20"/>
          <w:spacing w:val="-1"/>
          <w:sz w:val="16"/>
        </w:rPr>
        <w:t> </w:t>
      </w:r>
      <w:r>
        <w:rPr>
          <w:color w:val="231F20"/>
          <w:sz w:val="16"/>
        </w:rPr>
        <w:t>Hill</w:t>
        <w:tab/>
        <w:t>21</w:t>
      </w:r>
    </w:p>
    <w:p>
      <w:pPr>
        <w:tabs>
          <w:tab w:pos="6350" w:val="left" w:leader="none"/>
        </w:tabs>
        <w:spacing w:before="136"/>
        <w:ind w:left="390" w:right="0" w:firstLine="0"/>
        <w:jc w:val="left"/>
        <w:rPr>
          <w:sz w:val="16"/>
        </w:rPr>
      </w:pPr>
      <w:r>
        <w:rPr>
          <w:color w:val="231F20"/>
          <w:sz w:val="16"/>
        </w:rPr>
        <w:t>Figure 15. Corymbia (Eucalyptus) citriodora, Brighton</w:t>
      </w:r>
      <w:r>
        <w:rPr>
          <w:color w:val="231F20"/>
          <w:spacing w:val="-10"/>
          <w:sz w:val="16"/>
        </w:rPr>
        <w:t> </w:t>
      </w:r>
      <w:r>
        <w:rPr>
          <w:color w:val="231F20"/>
          <w:sz w:val="16"/>
        </w:rPr>
        <w:t>Street,</w:t>
      </w:r>
      <w:r>
        <w:rPr>
          <w:color w:val="231F20"/>
          <w:spacing w:val="-2"/>
          <w:sz w:val="16"/>
        </w:rPr>
        <w:t> </w:t>
      </w:r>
      <w:r>
        <w:rPr>
          <w:color w:val="231F20"/>
          <w:sz w:val="16"/>
        </w:rPr>
        <w:t>Petersham</w:t>
        <w:tab/>
        <w:t>22</w:t>
      </w:r>
    </w:p>
    <w:p>
      <w:pPr>
        <w:tabs>
          <w:tab w:pos="6350" w:val="left" w:leader="none"/>
        </w:tabs>
        <w:spacing w:before="137"/>
        <w:ind w:left="390" w:right="0" w:firstLine="0"/>
        <w:jc w:val="left"/>
        <w:rPr>
          <w:sz w:val="16"/>
        </w:rPr>
      </w:pPr>
      <w:r>
        <w:rPr>
          <w:color w:val="231F20"/>
          <w:sz w:val="16"/>
        </w:rPr>
        <w:t>Figure 16. Flindersia australis, Hopetoun</w:t>
      </w:r>
      <w:r>
        <w:rPr>
          <w:color w:val="231F20"/>
          <w:spacing w:val="-9"/>
          <w:sz w:val="16"/>
        </w:rPr>
        <w:t> </w:t>
      </w:r>
      <w:r>
        <w:rPr>
          <w:color w:val="231F20"/>
          <w:sz w:val="16"/>
        </w:rPr>
        <w:t>Street,</w:t>
      </w:r>
      <w:r>
        <w:rPr>
          <w:color w:val="231F20"/>
          <w:spacing w:val="-2"/>
          <w:sz w:val="16"/>
        </w:rPr>
        <w:t> </w:t>
      </w:r>
      <w:r>
        <w:rPr>
          <w:color w:val="231F20"/>
          <w:sz w:val="16"/>
        </w:rPr>
        <w:t>Camperdown</w:t>
        <w:tab/>
        <w:t>22</w:t>
      </w:r>
    </w:p>
    <w:p>
      <w:pPr>
        <w:tabs>
          <w:tab w:pos="6350" w:val="left" w:leader="none"/>
        </w:tabs>
        <w:spacing w:before="136"/>
        <w:ind w:left="390" w:right="0" w:firstLine="0"/>
        <w:jc w:val="left"/>
        <w:rPr>
          <w:sz w:val="16"/>
        </w:rPr>
      </w:pPr>
      <w:r>
        <w:rPr>
          <w:color w:val="231F20"/>
          <w:sz w:val="16"/>
        </w:rPr>
        <w:t>Figure</w:t>
      </w:r>
      <w:r>
        <w:rPr>
          <w:color w:val="231F20"/>
          <w:spacing w:val="-3"/>
          <w:sz w:val="16"/>
        </w:rPr>
        <w:t> </w:t>
      </w:r>
      <w:r>
        <w:rPr>
          <w:color w:val="231F20"/>
          <w:sz w:val="16"/>
        </w:rPr>
        <w:t>17.</w:t>
      </w:r>
      <w:r>
        <w:rPr>
          <w:color w:val="231F20"/>
          <w:spacing w:val="-4"/>
          <w:sz w:val="16"/>
        </w:rPr>
        <w:t> </w:t>
      </w:r>
      <w:r>
        <w:rPr>
          <w:color w:val="231F20"/>
          <w:sz w:val="16"/>
        </w:rPr>
        <w:t>New</w:t>
      </w:r>
      <w:r>
        <w:rPr>
          <w:color w:val="231F20"/>
          <w:spacing w:val="-3"/>
          <w:sz w:val="16"/>
        </w:rPr>
        <w:t> </w:t>
      </w:r>
      <w:r>
        <w:rPr>
          <w:color w:val="231F20"/>
          <w:sz w:val="16"/>
        </w:rPr>
        <w:t>street</w:t>
      </w:r>
      <w:r>
        <w:rPr>
          <w:color w:val="231F20"/>
          <w:spacing w:val="-4"/>
          <w:sz w:val="16"/>
        </w:rPr>
        <w:t> </w:t>
      </w:r>
      <w:r>
        <w:rPr>
          <w:color w:val="231F20"/>
          <w:sz w:val="16"/>
        </w:rPr>
        <w:t>tree</w:t>
      </w:r>
      <w:r>
        <w:rPr>
          <w:color w:val="231F20"/>
          <w:spacing w:val="-4"/>
          <w:sz w:val="16"/>
        </w:rPr>
        <w:t> </w:t>
      </w:r>
      <w:r>
        <w:rPr>
          <w:color w:val="231F20"/>
          <w:sz w:val="16"/>
        </w:rPr>
        <w:t>planting</w:t>
      </w:r>
      <w:r>
        <w:rPr>
          <w:color w:val="231F20"/>
          <w:spacing w:val="-4"/>
          <w:sz w:val="16"/>
        </w:rPr>
        <w:t> </w:t>
      </w:r>
      <w:r>
        <w:rPr>
          <w:color w:val="231F20"/>
          <w:sz w:val="16"/>
        </w:rPr>
        <w:t>along</w:t>
      </w:r>
      <w:r>
        <w:rPr>
          <w:color w:val="231F20"/>
          <w:spacing w:val="-4"/>
          <w:sz w:val="16"/>
        </w:rPr>
        <w:t> </w:t>
      </w:r>
      <w:r>
        <w:rPr>
          <w:color w:val="231F20"/>
          <w:sz w:val="16"/>
        </w:rPr>
        <w:t>Crystal</w:t>
      </w:r>
      <w:r>
        <w:rPr>
          <w:color w:val="231F20"/>
          <w:spacing w:val="-3"/>
          <w:sz w:val="16"/>
        </w:rPr>
        <w:t> </w:t>
      </w:r>
      <w:r>
        <w:rPr>
          <w:color w:val="231F20"/>
          <w:sz w:val="16"/>
        </w:rPr>
        <w:t>Street,</w:t>
      </w:r>
      <w:r>
        <w:rPr>
          <w:color w:val="231F20"/>
          <w:spacing w:val="-3"/>
          <w:sz w:val="16"/>
        </w:rPr>
        <w:t> </w:t>
      </w:r>
      <w:r>
        <w:rPr>
          <w:color w:val="231F20"/>
          <w:sz w:val="16"/>
        </w:rPr>
        <w:t>Marrickville</w:t>
        <w:tab/>
        <w:t>24</w:t>
      </w:r>
    </w:p>
    <w:p>
      <w:pPr>
        <w:tabs>
          <w:tab w:pos="6350" w:val="left" w:leader="none"/>
        </w:tabs>
        <w:spacing w:before="136"/>
        <w:ind w:left="390" w:right="0" w:firstLine="0"/>
        <w:jc w:val="left"/>
        <w:rPr>
          <w:sz w:val="16"/>
        </w:rPr>
      </w:pPr>
      <w:r>
        <w:rPr>
          <w:color w:val="231F20"/>
          <w:sz w:val="16"/>
        </w:rPr>
        <w:t>Figure 18. Trees in public and</w:t>
      </w:r>
      <w:r>
        <w:rPr>
          <w:color w:val="231F20"/>
          <w:spacing w:val="-23"/>
          <w:sz w:val="16"/>
        </w:rPr>
        <w:t> </w:t>
      </w:r>
      <w:r>
        <w:rPr>
          <w:color w:val="231F20"/>
          <w:sz w:val="16"/>
        </w:rPr>
        <w:t>private</w:t>
      </w:r>
      <w:r>
        <w:rPr>
          <w:color w:val="231F20"/>
          <w:spacing w:val="-4"/>
          <w:sz w:val="16"/>
        </w:rPr>
        <w:t> </w:t>
      </w:r>
      <w:r>
        <w:rPr>
          <w:color w:val="231F20"/>
          <w:sz w:val="16"/>
        </w:rPr>
        <w:t>spaces</w:t>
        <w:tab/>
        <w:t>24</w:t>
      </w:r>
    </w:p>
    <w:p>
      <w:pPr>
        <w:tabs>
          <w:tab w:pos="6350" w:val="left" w:leader="none"/>
        </w:tabs>
        <w:spacing w:before="137"/>
        <w:ind w:left="390" w:right="0" w:firstLine="0"/>
        <w:jc w:val="left"/>
        <w:rPr>
          <w:sz w:val="16"/>
        </w:rPr>
      </w:pPr>
      <w:r>
        <w:rPr>
          <w:color w:val="231F20"/>
          <w:sz w:val="16"/>
        </w:rPr>
        <w:t>Figure 19. Ficus microcarpa var ‘Hilli’ at Collyer</w:t>
      </w:r>
      <w:r>
        <w:rPr>
          <w:color w:val="231F20"/>
          <w:spacing w:val="-23"/>
          <w:sz w:val="16"/>
        </w:rPr>
        <w:t> </w:t>
      </w:r>
      <w:r>
        <w:rPr>
          <w:color w:val="231F20"/>
          <w:sz w:val="16"/>
        </w:rPr>
        <w:t>Playground,</w:t>
      </w:r>
      <w:r>
        <w:rPr>
          <w:color w:val="231F20"/>
          <w:spacing w:val="-2"/>
          <w:sz w:val="16"/>
        </w:rPr>
        <w:t> </w:t>
      </w:r>
      <w:r>
        <w:rPr>
          <w:color w:val="231F20"/>
          <w:sz w:val="16"/>
        </w:rPr>
        <w:t>Newtown</w:t>
        <w:tab/>
        <w:t>25</w:t>
      </w:r>
    </w:p>
    <w:p>
      <w:pPr>
        <w:tabs>
          <w:tab w:pos="6350" w:val="left" w:leader="none"/>
        </w:tabs>
        <w:spacing w:before="136"/>
        <w:ind w:left="390" w:right="0" w:firstLine="0"/>
        <w:jc w:val="left"/>
        <w:rPr>
          <w:sz w:val="16"/>
        </w:rPr>
      </w:pPr>
      <w:r>
        <w:rPr>
          <w:color w:val="231F20"/>
          <w:sz w:val="16"/>
        </w:rPr>
        <w:t>Figure 20. Aerial photo of Day</w:t>
      </w:r>
      <w:r>
        <w:rPr>
          <w:color w:val="231F20"/>
          <w:spacing w:val="-22"/>
          <w:sz w:val="16"/>
        </w:rPr>
        <w:t> </w:t>
      </w:r>
      <w:r>
        <w:rPr>
          <w:color w:val="231F20"/>
          <w:sz w:val="16"/>
        </w:rPr>
        <w:t>Street,</w:t>
      </w:r>
      <w:r>
        <w:rPr>
          <w:color w:val="231F20"/>
          <w:spacing w:val="-3"/>
          <w:sz w:val="16"/>
        </w:rPr>
        <w:t> </w:t>
      </w:r>
      <w:r>
        <w:rPr>
          <w:color w:val="231F20"/>
          <w:sz w:val="16"/>
        </w:rPr>
        <w:t>Marrickville</w:t>
        <w:tab/>
        <w:t>26</w:t>
      </w:r>
    </w:p>
    <w:p>
      <w:pPr>
        <w:spacing w:before="86"/>
        <w:ind w:left="771" w:right="0" w:firstLine="0"/>
        <w:jc w:val="left"/>
        <w:rPr>
          <w:i/>
          <w:sz w:val="24"/>
        </w:rPr>
      </w:pPr>
      <w:r>
        <w:rPr/>
        <w:br w:type="column"/>
      </w:r>
      <w:r>
        <w:rPr>
          <w:i/>
          <w:color w:val="231F20"/>
          <w:sz w:val="24"/>
        </w:rPr>
        <w:t>Marrickville Council</w:t>
      </w:r>
    </w:p>
    <w:p>
      <w:pPr>
        <w:spacing w:before="25"/>
        <w:ind w:left="390" w:right="0" w:firstLine="0"/>
        <w:jc w:val="left"/>
        <w:rPr>
          <w:b/>
          <w:i/>
          <w:sz w:val="24"/>
        </w:rPr>
      </w:pPr>
      <w:r>
        <w:rPr>
          <w:b/>
          <w:i/>
          <w:color w:val="231F20"/>
          <w:sz w:val="24"/>
        </w:rPr>
        <w:t>Urban  Forest Strategy</w:t>
      </w:r>
    </w:p>
    <w:p>
      <w:pPr>
        <w:spacing w:after="0"/>
        <w:jc w:val="left"/>
        <w:rPr>
          <w:sz w:val="24"/>
        </w:rPr>
        <w:sectPr>
          <w:footerReference w:type="default" r:id="rId11"/>
          <w:footerReference w:type="even" r:id="rId12"/>
          <w:pgSz w:w="11910" w:h="16840"/>
          <w:pgMar w:footer="779" w:header="0" w:top="1280" w:bottom="960" w:left="460" w:right="440"/>
          <w:cols w:num="2" w:equalWidth="0">
            <w:col w:w="6537" w:space="842"/>
            <w:col w:w="3631"/>
          </w:cols>
        </w:sectPr>
      </w:pPr>
    </w:p>
    <w:p>
      <w:pPr>
        <w:pStyle w:val="BodyText"/>
        <w:ind w:left="-10"/>
        <w:rPr>
          <w:sz w:val="20"/>
        </w:rPr>
      </w:pPr>
      <w:r>
        <w:rPr>
          <w:sz w:val="20"/>
        </w:rPr>
        <w:pict>
          <v:group style="width:541.85pt;height:74.75pt;mso-position-horizontal-relative:char;mso-position-vertical-relative:line" coordorigin="0,0" coordsize="10837,1495">
            <v:line style="position:absolute" from="3522,0" to="3522,1492" stroked="true" strokeweight=".25pt" strokecolor="#808285">
              <v:stroke dashstyle="solid"/>
            </v:line>
            <v:line style="position:absolute" from="10602,1492" to="0,1492" stroked="true" strokeweight=".25pt" strokecolor="#808285">
              <v:stroke dashstyle="solid"/>
            </v:line>
            <v:shape style="position:absolute;left:972;top:817;width:2290;height:576" type="#_x0000_t202" filled="false" stroked="false">
              <v:textbox inset="0,0,0,0">
                <w:txbxContent>
                  <w:p>
                    <w:pPr>
                      <w:spacing w:line="275" w:lineRule="exact" w:before="0"/>
                      <w:ind w:left="381" w:right="0" w:firstLine="0"/>
                      <w:jc w:val="left"/>
                      <w:rPr>
                        <w:i/>
                        <w:sz w:val="24"/>
                      </w:rPr>
                    </w:pPr>
                    <w:r>
                      <w:rPr>
                        <w:i/>
                        <w:color w:val="231F20"/>
                        <w:sz w:val="24"/>
                      </w:rPr>
                      <w:t>Marrickville Council</w:t>
                    </w:r>
                  </w:p>
                  <w:p>
                    <w:pPr>
                      <w:spacing w:before="25"/>
                      <w:ind w:left="0" w:right="0" w:firstLine="0"/>
                      <w:jc w:val="left"/>
                      <w:rPr>
                        <w:b/>
                        <w:i/>
                        <w:sz w:val="24"/>
                      </w:rPr>
                    </w:pPr>
                    <w:r>
                      <w:rPr>
                        <w:b/>
                        <w:i/>
                        <w:color w:val="231F20"/>
                        <w:sz w:val="24"/>
                      </w:rPr>
                      <w:t>Urban  Forest Strategy</w:t>
                    </w:r>
                  </w:p>
                </w:txbxContent>
              </v:textbox>
              <w10:wrap type="none"/>
            </v:shape>
            <v:shape style="position:absolute;left:3685;top:1079;width:7152;height:322" type="#_x0000_t202" filled="false" stroked="false">
              <v:textbox inset="0,0,0,0">
                <w:txbxContent>
                  <w:p>
                    <w:pPr>
                      <w:spacing w:line="321" w:lineRule="exact" w:before="0"/>
                      <w:ind w:left="0" w:right="0" w:firstLine="0"/>
                      <w:jc w:val="left"/>
                      <w:rPr>
                        <w:b/>
                        <w:sz w:val="28"/>
                      </w:rPr>
                    </w:pPr>
                    <w:r>
                      <w:rPr>
                        <w:b/>
                        <w:color w:val="231F20"/>
                        <w:sz w:val="28"/>
                      </w:rPr>
                      <w:t>EXISTING PLANNING INSTRUMENTS AND COUNCIL POLICIES</w:t>
                    </w:r>
                  </w:p>
                </w:txbxContent>
              </v:textbox>
              <w10:wrap type="none"/>
            </v:shape>
          </v:group>
        </w:pict>
      </w:r>
      <w:r>
        <w:rPr>
          <w:sz w:val="20"/>
        </w:rPr>
      </w:r>
    </w:p>
    <w:p>
      <w:pPr>
        <w:pStyle w:val="BodyText"/>
        <w:rPr>
          <w:b/>
          <w:i/>
          <w:sz w:val="20"/>
        </w:rPr>
      </w:pPr>
    </w:p>
    <w:p>
      <w:pPr>
        <w:pStyle w:val="BodyText"/>
        <w:spacing w:before="1"/>
        <w:rPr>
          <w:b/>
          <w:i/>
          <w:sz w:val="27"/>
        </w:rPr>
      </w:pPr>
    </w:p>
    <w:tbl>
      <w:tblPr>
        <w:tblW w:w="0" w:type="auto"/>
        <w:jc w:val="left"/>
        <w:tblInd w:w="170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814"/>
        <w:gridCol w:w="4819"/>
        <w:gridCol w:w="2381"/>
      </w:tblGrid>
      <w:tr>
        <w:trPr>
          <w:trHeight w:val="451" w:hRule="atLeast"/>
        </w:trPr>
        <w:tc>
          <w:tcPr>
            <w:tcW w:w="1814" w:type="dxa"/>
            <w:tcBorders>
              <w:top w:val="nil"/>
              <w:left w:val="nil"/>
            </w:tcBorders>
          </w:tcPr>
          <w:p>
            <w:pPr>
              <w:pStyle w:val="TableParagraph"/>
              <w:spacing w:before="141"/>
              <w:ind w:left="108"/>
              <w:rPr>
                <w:b/>
                <w:sz w:val="18"/>
              </w:rPr>
            </w:pPr>
            <w:r>
              <w:rPr>
                <w:b/>
                <w:color w:val="231F20"/>
                <w:sz w:val="18"/>
              </w:rPr>
              <w:t>Policy/Document</w:t>
            </w:r>
          </w:p>
        </w:tc>
        <w:tc>
          <w:tcPr>
            <w:tcW w:w="4819" w:type="dxa"/>
            <w:tcBorders>
              <w:top w:val="nil"/>
            </w:tcBorders>
          </w:tcPr>
          <w:p>
            <w:pPr>
              <w:pStyle w:val="TableParagraph"/>
              <w:spacing w:before="141"/>
              <w:ind w:left="105"/>
              <w:rPr>
                <w:b/>
                <w:sz w:val="18"/>
              </w:rPr>
            </w:pPr>
            <w:r>
              <w:rPr>
                <w:b/>
                <w:color w:val="231F20"/>
                <w:sz w:val="18"/>
              </w:rPr>
              <w:t>Name</w:t>
            </w:r>
          </w:p>
        </w:tc>
        <w:tc>
          <w:tcPr>
            <w:tcW w:w="2381" w:type="dxa"/>
            <w:tcBorders>
              <w:top w:val="nil"/>
              <w:right w:val="nil"/>
            </w:tcBorders>
          </w:tcPr>
          <w:p>
            <w:pPr>
              <w:pStyle w:val="TableParagraph"/>
              <w:spacing w:before="141"/>
              <w:ind w:left="105"/>
              <w:rPr>
                <w:b/>
                <w:sz w:val="18"/>
              </w:rPr>
            </w:pPr>
            <w:r>
              <w:rPr>
                <w:b/>
                <w:color w:val="231F20"/>
                <w:sz w:val="18"/>
              </w:rPr>
              <w:t>Status</w:t>
            </w:r>
          </w:p>
        </w:tc>
      </w:tr>
    </w:tbl>
    <w:p>
      <w:pPr>
        <w:pStyle w:val="Heading5"/>
        <w:spacing w:before="140"/>
        <w:ind w:left="1810"/>
      </w:pPr>
      <w:r>
        <w:rPr>
          <w:color w:val="231F20"/>
        </w:rPr>
        <w:t>LEGISLATION</w:t>
      </w:r>
    </w:p>
    <w:p>
      <w:pPr>
        <w:pStyle w:val="BodyText"/>
        <w:spacing w:before="10"/>
        <w:rPr>
          <w:b/>
          <w:sz w:val="8"/>
        </w:rPr>
      </w:pPr>
    </w:p>
    <w:tbl>
      <w:tblPr>
        <w:tblW w:w="0" w:type="auto"/>
        <w:jc w:val="left"/>
        <w:tblInd w:w="170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814"/>
        <w:gridCol w:w="4819"/>
        <w:gridCol w:w="2381"/>
      </w:tblGrid>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Environmental Planning &amp; Assessment Act 1979</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Local Government Act 1993</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Roads Act 1993</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Electricity Supply Act 1995</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Sydney Water Act 1994</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Heritage Act 1977</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bl>
    <w:p>
      <w:pPr>
        <w:spacing w:before="140"/>
        <w:ind w:left="1810" w:right="0" w:firstLine="0"/>
        <w:jc w:val="left"/>
        <w:rPr>
          <w:b/>
          <w:sz w:val="18"/>
        </w:rPr>
      </w:pPr>
      <w:r>
        <w:rPr>
          <w:b/>
          <w:color w:val="231F20"/>
          <w:sz w:val="18"/>
        </w:rPr>
        <w:t>FORMAL  PLANNING INSTRUMENTS</w:t>
      </w:r>
    </w:p>
    <w:p>
      <w:pPr>
        <w:pStyle w:val="BodyText"/>
        <w:spacing w:before="10"/>
        <w:rPr>
          <w:b/>
          <w:sz w:val="8"/>
        </w:rPr>
      </w:pPr>
    </w:p>
    <w:tbl>
      <w:tblPr>
        <w:tblW w:w="0" w:type="auto"/>
        <w:jc w:val="left"/>
        <w:tblInd w:w="170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814"/>
        <w:gridCol w:w="4819"/>
        <w:gridCol w:w="2381"/>
      </w:tblGrid>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State Environmental Planning Policy (infrastructure) 2007</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LEP 2001</w:t>
            </w:r>
          </w:p>
        </w:tc>
        <w:tc>
          <w:tcPr>
            <w:tcW w:w="4819" w:type="dxa"/>
          </w:tcPr>
          <w:p>
            <w:pPr>
              <w:pStyle w:val="TableParagraph"/>
              <w:spacing w:before="121"/>
              <w:ind w:left="105"/>
              <w:rPr>
                <w:rFonts w:ascii="Arial"/>
                <w:sz w:val="18"/>
              </w:rPr>
            </w:pPr>
            <w:r>
              <w:rPr>
                <w:rFonts w:ascii="Arial"/>
                <w:color w:val="231F20"/>
                <w:sz w:val="18"/>
              </w:rPr>
              <w:t>Marrickville Local Environment Plan 2001</w:t>
            </w:r>
          </w:p>
        </w:tc>
        <w:tc>
          <w:tcPr>
            <w:tcW w:w="2381" w:type="dxa"/>
            <w:tcBorders>
              <w:right w:val="nil"/>
            </w:tcBorders>
          </w:tcPr>
          <w:p>
            <w:pPr>
              <w:pStyle w:val="TableParagraph"/>
              <w:spacing w:before="121"/>
              <w:ind w:left="105"/>
              <w:rPr>
                <w:rFonts w:ascii="Arial"/>
                <w:sz w:val="18"/>
              </w:rPr>
            </w:pPr>
            <w:r>
              <w:rPr>
                <w:rFonts w:ascii="Arial"/>
                <w:color w:val="231F20"/>
                <w:sz w:val="18"/>
              </w:rPr>
              <w:t>Current (to be replaced)</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TPO 2007</w:t>
            </w:r>
          </w:p>
        </w:tc>
        <w:tc>
          <w:tcPr>
            <w:tcW w:w="4819" w:type="dxa"/>
          </w:tcPr>
          <w:p>
            <w:pPr>
              <w:pStyle w:val="TableParagraph"/>
              <w:spacing w:before="121"/>
              <w:ind w:left="105"/>
              <w:rPr>
                <w:rFonts w:ascii="Arial"/>
                <w:sz w:val="18"/>
              </w:rPr>
            </w:pPr>
            <w:r>
              <w:rPr>
                <w:rFonts w:ascii="Arial"/>
                <w:color w:val="231F20"/>
                <w:sz w:val="18"/>
              </w:rPr>
              <w:t>Marrickville Tree Preservation Order 2007</w:t>
            </w:r>
          </w:p>
        </w:tc>
        <w:tc>
          <w:tcPr>
            <w:tcW w:w="2381" w:type="dxa"/>
            <w:tcBorders>
              <w:right w:val="nil"/>
            </w:tcBorders>
          </w:tcPr>
          <w:p>
            <w:pPr>
              <w:pStyle w:val="TableParagraph"/>
              <w:spacing w:before="121"/>
              <w:ind w:left="105"/>
              <w:rPr>
                <w:rFonts w:ascii="Arial"/>
                <w:sz w:val="18"/>
              </w:rPr>
            </w:pPr>
            <w:r>
              <w:rPr>
                <w:rFonts w:ascii="Arial"/>
                <w:color w:val="231F20"/>
                <w:sz w:val="18"/>
              </w:rPr>
              <w:t>Current (to be replaced)</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LEP 2010</w:t>
            </w:r>
          </w:p>
        </w:tc>
        <w:tc>
          <w:tcPr>
            <w:tcW w:w="4819" w:type="dxa"/>
          </w:tcPr>
          <w:p>
            <w:pPr>
              <w:pStyle w:val="TableParagraph"/>
              <w:spacing w:before="121"/>
              <w:ind w:left="105"/>
              <w:rPr>
                <w:rFonts w:ascii="Arial"/>
                <w:sz w:val="18"/>
              </w:rPr>
            </w:pPr>
            <w:r>
              <w:rPr>
                <w:rFonts w:ascii="Arial"/>
                <w:color w:val="231F20"/>
                <w:sz w:val="18"/>
              </w:rPr>
              <w:t>Marrickville Local Environment Plan 2010</w:t>
            </w:r>
          </w:p>
        </w:tc>
        <w:tc>
          <w:tcPr>
            <w:tcW w:w="2381" w:type="dxa"/>
            <w:tcBorders>
              <w:right w:val="nil"/>
            </w:tcBorders>
          </w:tcPr>
          <w:p>
            <w:pPr>
              <w:pStyle w:val="TableParagraph"/>
              <w:spacing w:before="121"/>
              <w:ind w:left="105"/>
              <w:rPr>
                <w:rFonts w:ascii="Arial"/>
                <w:sz w:val="18"/>
              </w:rPr>
            </w:pPr>
            <w:r>
              <w:rPr>
                <w:rFonts w:ascii="Arial"/>
                <w:color w:val="231F20"/>
                <w:sz w:val="18"/>
              </w:rPr>
              <w:t>Draft</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LEP 2010: Part A</w:t>
            </w:r>
          </w:p>
        </w:tc>
        <w:tc>
          <w:tcPr>
            <w:tcW w:w="4819" w:type="dxa"/>
          </w:tcPr>
          <w:p>
            <w:pPr>
              <w:pStyle w:val="TableParagraph"/>
              <w:spacing w:before="121"/>
              <w:ind w:left="105"/>
              <w:rPr>
                <w:rFonts w:ascii="Arial"/>
                <w:sz w:val="18"/>
              </w:rPr>
            </w:pPr>
            <w:r>
              <w:rPr>
                <w:rFonts w:ascii="Arial"/>
                <w:color w:val="231F20"/>
                <w:sz w:val="18"/>
              </w:rPr>
              <w:t>Development Application Guidelines</w:t>
            </w:r>
          </w:p>
        </w:tc>
        <w:tc>
          <w:tcPr>
            <w:tcW w:w="2381" w:type="dxa"/>
            <w:tcBorders>
              <w:right w:val="nil"/>
            </w:tcBorders>
          </w:tcPr>
          <w:p>
            <w:pPr>
              <w:pStyle w:val="TableParagraph"/>
              <w:spacing w:before="121"/>
              <w:ind w:left="105"/>
              <w:rPr>
                <w:rFonts w:ascii="Arial"/>
                <w:sz w:val="18"/>
              </w:rPr>
            </w:pPr>
            <w:r>
              <w:rPr>
                <w:rFonts w:ascii="Arial"/>
                <w:color w:val="231F20"/>
                <w:sz w:val="18"/>
              </w:rPr>
              <w:t>Draft</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LEP 2010: Part 2.18</w:t>
            </w:r>
          </w:p>
        </w:tc>
        <w:tc>
          <w:tcPr>
            <w:tcW w:w="4819" w:type="dxa"/>
          </w:tcPr>
          <w:p>
            <w:pPr>
              <w:pStyle w:val="TableParagraph"/>
              <w:spacing w:before="121"/>
              <w:ind w:left="105"/>
              <w:rPr>
                <w:rFonts w:ascii="Arial"/>
                <w:sz w:val="18"/>
              </w:rPr>
            </w:pPr>
            <w:r>
              <w:rPr>
                <w:rFonts w:ascii="Arial"/>
                <w:color w:val="231F20"/>
                <w:sz w:val="18"/>
              </w:rPr>
              <w:t>General Provisions - Landscaping</w:t>
            </w:r>
          </w:p>
        </w:tc>
        <w:tc>
          <w:tcPr>
            <w:tcW w:w="2381" w:type="dxa"/>
            <w:tcBorders>
              <w:right w:val="nil"/>
            </w:tcBorders>
          </w:tcPr>
          <w:p>
            <w:pPr>
              <w:pStyle w:val="TableParagraph"/>
              <w:spacing w:before="121"/>
              <w:ind w:left="105"/>
              <w:rPr>
                <w:rFonts w:ascii="Arial"/>
                <w:sz w:val="18"/>
              </w:rPr>
            </w:pPr>
            <w:r>
              <w:rPr>
                <w:rFonts w:ascii="Arial"/>
                <w:color w:val="231F20"/>
                <w:sz w:val="18"/>
              </w:rPr>
              <w:t>Draft</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LEP 2010: Part 2.20</w:t>
            </w:r>
          </w:p>
        </w:tc>
        <w:tc>
          <w:tcPr>
            <w:tcW w:w="4819" w:type="dxa"/>
          </w:tcPr>
          <w:p>
            <w:pPr>
              <w:pStyle w:val="TableParagraph"/>
              <w:spacing w:before="121"/>
              <w:ind w:left="105"/>
              <w:rPr>
                <w:rFonts w:ascii="Arial" w:hAnsi="Arial"/>
                <w:sz w:val="18"/>
              </w:rPr>
            </w:pPr>
            <w:r>
              <w:rPr>
                <w:rFonts w:ascii="Arial" w:hAnsi="Arial"/>
                <w:color w:val="231F20"/>
                <w:sz w:val="18"/>
              </w:rPr>
              <w:t>General Provisions – Tree Management</w:t>
            </w:r>
          </w:p>
        </w:tc>
        <w:tc>
          <w:tcPr>
            <w:tcW w:w="2381" w:type="dxa"/>
            <w:tcBorders>
              <w:right w:val="nil"/>
            </w:tcBorders>
          </w:tcPr>
          <w:p>
            <w:pPr>
              <w:pStyle w:val="TableParagraph"/>
              <w:spacing w:before="121"/>
              <w:ind w:left="105"/>
              <w:rPr>
                <w:rFonts w:ascii="Arial"/>
                <w:sz w:val="18"/>
              </w:rPr>
            </w:pPr>
            <w:r>
              <w:rPr>
                <w:rFonts w:ascii="Arial"/>
                <w:color w:val="231F20"/>
                <w:sz w:val="18"/>
              </w:rPr>
              <w:t>Draft</w:t>
            </w:r>
          </w:p>
        </w:tc>
      </w:tr>
    </w:tbl>
    <w:p>
      <w:pPr>
        <w:spacing w:before="140"/>
        <w:ind w:left="1810" w:right="0" w:firstLine="0"/>
        <w:jc w:val="left"/>
        <w:rPr>
          <w:b/>
          <w:sz w:val="18"/>
        </w:rPr>
      </w:pPr>
      <w:r>
        <w:rPr>
          <w:b/>
          <w:color w:val="231F20"/>
          <w:sz w:val="18"/>
        </w:rPr>
        <w:t>MARRICKVILLE  COUNCIL  POLICIES</w:t>
      </w:r>
    </w:p>
    <w:p>
      <w:pPr>
        <w:pStyle w:val="BodyText"/>
        <w:spacing w:before="10"/>
        <w:rPr>
          <w:b/>
          <w:sz w:val="8"/>
        </w:rPr>
      </w:pPr>
    </w:p>
    <w:tbl>
      <w:tblPr>
        <w:tblW w:w="0" w:type="auto"/>
        <w:jc w:val="left"/>
        <w:tblInd w:w="170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814"/>
        <w:gridCol w:w="4819"/>
        <w:gridCol w:w="2381"/>
      </w:tblGrid>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Street Tree Policy Review and Guidelines 1993</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Policy PR3</w:t>
            </w:r>
          </w:p>
        </w:tc>
        <w:tc>
          <w:tcPr>
            <w:tcW w:w="4819" w:type="dxa"/>
          </w:tcPr>
          <w:p>
            <w:pPr>
              <w:pStyle w:val="TableParagraph"/>
              <w:spacing w:before="121"/>
              <w:ind w:left="105"/>
              <w:rPr>
                <w:rFonts w:ascii="Arial"/>
                <w:sz w:val="18"/>
              </w:rPr>
            </w:pPr>
            <w:r>
              <w:rPr>
                <w:rFonts w:ascii="Arial"/>
                <w:color w:val="231F20"/>
                <w:sz w:val="18"/>
              </w:rPr>
              <w:t>Tree Policy 1995</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Policy PR4</w:t>
            </w:r>
          </w:p>
        </w:tc>
        <w:tc>
          <w:tcPr>
            <w:tcW w:w="4819" w:type="dxa"/>
          </w:tcPr>
          <w:p>
            <w:pPr>
              <w:pStyle w:val="TableParagraph"/>
              <w:spacing w:before="121"/>
              <w:ind w:left="105"/>
              <w:rPr>
                <w:rFonts w:ascii="Arial"/>
                <w:sz w:val="18"/>
              </w:rPr>
            </w:pPr>
            <w:r>
              <w:rPr>
                <w:rFonts w:ascii="Arial"/>
                <w:color w:val="231F20"/>
                <w:sz w:val="18"/>
              </w:rPr>
              <w:t>Protection Of Trees 1995</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spacing w:before="121"/>
              <w:ind w:left="108"/>
              <w:rPr>
                <w:rFonts w:ascii="Arial"/>
                <w:sz w:val="18"/>
              </w:rPr>
            </w:pPr>
            <w:r>
              <w:rPr>
                <w:rFonts w:ascii="Arial"/>
                <w:color w:val="231F20"/>
                <w:sz w:val="18"/>
              </w:rPr>
              <w:t>Policy PR6</w:t>
            </w:r>
          </w:p>
        </w:tc>
        <w:tc>
          <w:tcPr>
            <w:tcW w:w="4819" w:type="dxa"/>
          </w:tcPr>
          <w:p>
            <w:pPr>
              <w:pStyle w:val="TableParagraph"/>
              <w:spacing w:before="121"/>
              <w:ind w:left="105"/>
              <w:rPr>
                <w:rFonts w:ascii="Arial"/>
                <w:sz w:val="18"/>
              </w:rPr>
            </w:pPr>
            <w:r>
              <w:rPr>
                <w:rFonts w:ascii="Arial"/>
                <w:color w:val="231F20"/>
                <w:sz w:val="18"/>
              </w:rPr>
              <w:t>Tree Management Policy 1996</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hAnsi="Arial"/>
                <w:sz w:val="18"/>
              </w:rPr>
            </w:pPr>
            <w:r>
              <w:rPr>
                <w:rFonts w:ascii="Arial" w:hAnsi="Arial"/>
                <w:color w:val="231F20"/>
                <w:sz w:val="18"/>
              </w:rPr>
              <w:t>Urban Forest Policy 2010 — superseding PR3 / PR4 / PR6</w:t>
            </w:r>
          </w:p>
        </w:tc>
        <w:tc>
          <w:tcPr>
            <w:tcW w:w="2381" w:type="dxa"/>
            <w:tcBorders>
              <w:right w:val="nil"/>
            </w:tcBorders>
          </w:tcPr>
          <w:p>
            <w:pPr>
              <w:pStyle w:val="TableParagraph"/>
              <w:spacing w:before="121"/>
              <w:ind w:left="105"/>
              <w:rPr>
                <w:rFonts w:ascii="Arial"/>
                <w:sz w:val="18"/>
              </w:rPr>
            </w:pPr>
            <w:r>
              <w:rPr>
                <w:rFonts w:ascii="Arial"/>
                <w:color w:val="231F20"/>
                <w:sz w:val="18"/>
              </w:rPr>
              <w:t>Draft</w:t>
            </w:r>
          </w:p>
        </w:tc>
      </w:tr>
      <w:tr>
        <w:trPr>
          <w:trHeight w:val="448" w:hRule="atLeast"/>
        </w:trPr>
        <w:tc>
          <w:tcPr>
            <w:tcW w:w="1814" w:type="dxa"/>
            <w:tcBorders>
              <w:left w:val="nil"/>
            </w:tcBorders>
          </w:tcPr>
          <w:p>
            <w:pPr>
              <w:pStyle w:val="TableParagraph"/>
              <w:rPr>
                <w:rFonts w:ascii="Times New Roman"/>
                <w:sz w:val="18"/>
              </w:rPr>
            </w:pPr>
          </w:p>
        </w:tc>
        <w:tc>
          <w:tcPr>
            <w:tcW w:w="4819" w:type="dxa"/>
          </w:tcPr>
          <w:p>
            <w:pPr>
              <w:pStyle w:val="TableParagraph"/>
              <w:spacing w:before="121"/>
              <w:ind w:left="105"/>
              <w:rPr>
                <w:rFonts w:ascii="Arial"/>
                <w:sz w:val="18"/>
              </w:rPr>
            </w:pPr>
            <w:r>
              <w:rPr>
                <w:rFonts w:ascii="Arial"/>
                <w:color w:val="231F20"/>
                <w:sz w:val="18"/>
              </w:rPr>
              <w:t>Asset Management Policy 2010</w:t>
            </w:r>
          </w:p>
        </w:tc>
        <w:tc>
          <w:tcPr>
            <w:tcW w:w="2381" w:type="dxa"/>
            <w:tcBorders>
              <w:right w:val="nil"/>
            </w:tcBorders>
          </w:tcPr>
          <w:p>
            <w:pPr>
              <w:pStyle w:val="TableParagraph"/>
              <w:spacing w:before="121"/>
              <w:ind w:left="105"/>
              <w:rPr>
                <w:rFonts w:ascii="Arial"/>
                <w:sz w:val="18"/>
              </w:rPr>
            </w:pPr>
            <w:r>
              <w:rPr>
                <w:rFonts w:ascii="Arial"/>
                <w:color w:val="231F20"/>
                <w:sz w:val="18"/>
              </w:rPr>
              <w:t>Current</w:t>
            </w:r>
          </w:p>
        </w:tc>
      </w:tr>
    </w:tbl>
    <w:p>
      <w:pPr>
        <w:spacing w:after="0"/>
        <w:rPr>
          <w:rFonts w:ascii="Arial"/>
          <w:sz w:val="18"/>
        </w:rPr>
        <w:sectPr>
          <w:pgSz w:w="11910" w:h="16840"/>
          <w:pgMar w:header="0" w:footer="779" w:top="540" w:bottom="960" w:left="460" w:right="440"/>
        </w:sectPr>
      </w:pPr>
    </w:p>
    <w:p>
      <w:pPr>
        <w:pStyle w:val="BodyText"/>
        <w:spacing w:before="4"/>
        <w:rPr>
          <w:b/>
          <w:sz w:val="30"/>
        </w:rPr>
      </w:pPr>
      <w:r>
        <w:rPr/>
        <w:pict>
          <v:group style="position:absolute;margin-left:42.5201pt;margin-top:28.346714pt;width:524.450pt;height:771.05pt;mso-position-horizontal-relative:page;mso-position-vertical-relative:page;z-index:-95776" coordorigin="850,567" coordsize="10489,15421">
            <v:line style="position:absolute" from="7942,567" to="7942,15987" stroked="true" strokeweight=".25pt" strokecolor="#808285">
              <v:stroke dashstyle="solid"/>
            </v:line>
            <v:line style="position:absolute" from="11339,2059" to="850,2059" stroked="true" strokeweight=".25pt" strokecolor="#808285">
              <v:stroke dashstyle="solid"/>
            </v:line>
            <w10:wrap type="none"/>
          </v:group>
        </w:pict>
      </w:r>
    </w:p>
    <w:p>
      <w:pPr>
        <w:spacing w:before="0"/>
        <w:ind w:left="397" w:right="0" w:firstLine="0"/>
        <w:jc w:val="left"/>
        <w:rPr>
          <w:b/>
          <w:sz w:val="28"/>
        </w:rPr>
      </w:pPr>
      <w:r>
        <w:rPr>
          <w:b/>
          <w:color w:val="231F20"/>
          <w:sz w:val="28"/>
        </w:rPr>
        <w:t>Draft URBAN FOREST POLICY</w:t>
      </w:r>
    </w:p>
    <w:p>
      <w:pPr>
        <w:pStyle w:val="BodyText"/>
        <w:rPr>
          <w:b/>
          <w:sz w:val="32"/>
        </w:rPr>
      </w:pPr>
    </w:p>
    <w:p>
      <w:pPr>
        <w:spacing w:before="249"/>
        <w:ind w:left="390" w:right="0" w:firstLine="0"/>
        <w:jc w:val="left"/>
        <w:rPr>
          <w:b/>
          <w:sz w:val="24"/>
        </w:rPr>
      </w:pPr>
      <w:r>
        <w:rPr>
          <w:b/>
          <w:color w:val="231F20"/>
          <w:sz w:val="24"/>
        </w:rPr>
        <w:t>Policy Purpose</w:t>
      </w:r>
    </w:p>
    <w:p>
      <w:pPr>
        <w:pStyle w:val="BodyText"/>
        <w:spacing w:before="2"/>
        <w:rPr>
          <w:b/>
          <w:sz w:val="33"/>
        </w:rPr>
      </w:pPr>
    </w:p>
    <w:p>
      <w:pPr>
        <w:pStyle w:val="BodyText"/>
        <w:spacing w:line="348" w:lineRule="auto"/>
        <w:ind w:left="390" w:right="280"/>
      </w:pPr>
      <w:r>
        <w:rPr>
          <w:color w:val="231F20"/>
        </w:rPr>
        <w:t>The purpose of this policy is to establish Council’s commitment to the holistic management of Marrickville’s urban forest. It recognizes the urban forest as an essential, living infrastructure asset    and</w:t>
      </w:r>
      <w:r>
        <w:rPr>
          <w:color w:val="231F20"/>
          <w:spacing w:val="12"/>
        </w:rPr>
        <w:t> </w:t>
      </w:r>
      <w:r>
        <w:rPr>
          <w:color w:val="231F20"/>
        </w:rPr>
        <w:t>resource</w:t>
      </w:r>
      <w:r>
        <w:rPr>
          <w:color w:val="231F20"/>
          <w:spacing w:val="12"/>
        </w:rPr>
        <w:t> </w:t>
      </w:r>
      <w:r>
        <w:rPr>
          <w:color w:val="231F20"/>
        </w:rPr>
        <w:t>that</w:t>
      </w:r>
      <w:r>
        <w:rPr>
          <w:color w:val="231F20"/>
          <w:spacing w:val="12"/>
        </w:rPr>
        <w:t> </w:t>
      </w:r>
      <w:r>
        <w:rPr>
          <w:color w:val="231F20"/>
        </w:rPr>
        <w:t>provides</w:t>
      </w:r>
      <w:r>
        <w:rPr>
          <w:color w:val="231F20"/>
          <w:spacing w:val="12"/>
        </w:rPr>
        <w:t> </w:t>
      </w:r>
      <w:r>
        <w:rPr>
          <w:color w:val="231F20"/>
        </w:rPr>
        <w:t>a</w:t>
      </w:r>
      <w:r>
        <w:rPr>
          <w:color w:val="231F20"/>
          <w:spacing w:val="12"/>
        </w:rPr>
        <w:t> </w:t>
      </w:r>
      <w:r>
        <w:rPr>
          <w:color w:val="231F20"/>
        </w:rPr>
        <w:t>wide</w:t>
      </w:r>
      <w:r>
        <w:rPr>
          <w:color w:val="231F20"/>
          <w:spacing w:val="12"/>
        </w:rPr>
        <w:t> </w:t>
      </w:r>
      <w:r>
        <w:rPr>
          <w:color w:val="231F20"/>
        </w:rPr>
        <w:t>range</w:t>
      </w:r>
      <w:r>
        <w:rPr>
          <w:color w:val="231F20"/>
          <w:spacing w:val="12"/>
        </w:rPr>
        <w:t> </w:t>
      </w:r>
      <w:r>
        <w:rPr>
          <w:color w:val="231F20"/>
        </w:rPr>
        <w:t>of</w:t>
      </w:r>
      <w:r>
        <w:rPr>
          <w:color w:val="231F20"/>
          <w:spacing w:val="12"/>
        </w:rPr>
        <w:t> </w:t>
      </w:r>
      <w:r>
        <w:rPr>
          <w:color w:val="231F20"/>
        </w:rPr>
        <w:t>social,</w:t>
      </w:r>
      <w:r>
        <w:rPr>
          <w:color w:val="231F20"/>
          <w:spacing w:val="12"/>
        </w:rPr>
        <w:t> </w:t>
      </w:r>
      <w:r>
        <w:rPr>
          <w:color w:val="231F20"/>
        </w:rPr>
        <w:t>environmental</w:t>
      </w:r>
      <w:r>
        <w:rPr>
          <w:color w:val="231F20"/>
          <w:spacing w:val="12"/>
        </w:rPr>
        <w:t> </w:t>
      </w:r>
      <w:r>
        <w:rPr>
          <w:color w:val="231F20"/>
        </w:rPr>
        <w:t>and</w:t>
      </w:r>
      <w:r>
        <w:rPr>
          <w:color w:val="231F20"/>
          <w:spacing w:val="12"/>
        </w:rPr>
        <w:t> </w:t>
      </w:r>
      <w:r>
        <w:rPr>
          <w:color w:val="231F20"/>
        </w:rPr>
        <w:t>economic</w:t>
      </w:r>
      <w:r>
        <w:rPr>
          <w:color w:val="231F20"/>
          <w:spacing w:val="12"/>
        </w:rPr>
        <w:t> </w:t>
      </w:r>
      <w:r>
        <w:rPr>
          <w:color w:val="231F20"/>
        </w:rPr>
        <w:t>benefits.</w:t>
      </w:r>
    </w:p>
    <w:p>
      <w:pPr>
        <w:pStyle w:val="BodyText"/>
        <w:spacing w:before="3"/>
        <w:rPr>
          <w:sz w:val="26"/>
        </w:rPr>
      </w:pPr>
    </w:p>
    <w:p>
      <w:pPr>
        <w:pStyle w:val="BodyText"/>
        <w:spacing w:line="348" w:lineRule="auto"/>
        <w:ind w:left="390" w:right="280"/>
      </w:pPr>
      <w:r>
        <w:rPr>
          <w:color w:val="231F20"/>
        </w:rPr>
        <w:t>This Policy recognises the imperative for Council to commit to  maintaining  and  increasing  </w:t>
      </w:r>
      <w:r>
        <w:rPr>
          <w:color w:val="231F20"/>
          <w:spacing w:val="1"/>
        </w:rPr>
        <w:t>the </w:t>
      </w:r>
      <w:r>
        <w:rPr>
          <w:color w:val="231F20"/>
        </w:rPr>
        <w:t>benefits provided by the Marrickville urban forest and it provides directional statements intended to guide urban forest management</w:t>
      </w:r>
      <w:r>
        <w:rPr>
          <w:color w:val="231F20"/>
          <w:spacing w:val="31"/>
        </w:rPr>
        <w:t> </w:t>
      </w:r>
      <w:r>
        <w:rPr>
          <w:color w:val="231F20"/>
        </w:rPr>
        <w:t>decisions.</w:t>
      </w:r>
    </w:p>
    <w:p>
      <w:pPr>
        <w:pStyle w:val="BodyText"/>
        <w:spacing w:before="4"/>
        <w:rPr>
          <w:sz w:val="21"/>
        </w:rPr>
      </w:pPr>
    </w:p>
    <w:p>
      <w:pPr>
        <w:spacing w:before="1"/>
        <w:ind w:left="390" w:right="0" w:firstLine="0"/>
        <w:jc w:val="left"/>
        <w:rPr>
          <w:b/>
          <w:sz w:val="24"/>
        </w:rPr>
      </w:pPr>
      <w:r>
        <w:rPr>
          <w:b/>
          <w:color w:val="231F20"/>
          <w:sz w:val="24"/>
        </w:rPr>
        <w:t>Related Legislation, Policies and Documents</w:t>
      </w:r>
    </w:p>
    <w:p>
      <w:pPr>
        <w:pStyle w:val="BodyText"/>
        <w:spacing w:before="1"/>
        <w:rPr>
          <w:b/>
          <w:sz w:val="32"/>
        </w:rPr>
      </w:pPr>
    </w:p>
    <w:p>
      <w:pPr>
        <w:pStyle w:val="ListParagraph"/>
        <w:numPr>
          <w:ilvl w:val="0"/>
          <w:numId w:val="2"/>
        </w:numPr>
        <w:tabs>
          <w:tab w:pos="873" w:val="left" w:leader="none"/>
        </w:tabs>
        <w:spacing w:line="240" w:lineRule="auto" w:before="0" w:after="0"/>
        <w:ind w:left="872" w:right="0" w:hanging="142"/>
        <w:jc w:val="left"/>
        <w:rPr>
          <w:sz w:val="18"/>
        </w:rPr>
      </w:pPr>
      <w:r>
        <w:rPr>
          <w:color w:val="231F20"/>
          <w:sz w:val="18"/>
        </w:rPr>
        <w:t>Environmental Planning &amp; Assessment Act</w:t>
      </w:r>
      <w:r>
        <w:rPr>
          <w:color w:val="231F20"/>
          <w:spacing w:val="25"/>
          <w:sz w:val="18"/>
        </w:rPr>
        <w:t> </w:t>
      </w:r>
      <w:r>
        <w:rPr>
          <w:color w:val="231F20"/>
          <w:sz w:val="18"/>
        </w:rPr>
        <w:t>1979</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Local Government Act</w:t>
      </w:r>
      <w:r>
        <w:rPr>
          <w:color w:val="231F20"/>
          <w:spacing w:val="13"/>
          <w:sz w:val="18"/>
        </w:rPr>
        <w:t> </w:t>
      </w:r>
      <w:r>
        <w:rPr>
          <w:color w:val="231F20"/>
          <w:sz w:val="18"/>
        </w:rPr>
        <w:t>1993</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Roads Act</w:t>
      </w:r>
      <w:r>
        <w:rPr>
          <w:color w:val="231F20"/>
          <w:spacing w:val="5"/>
          <w:sz w:val="18"/>
        </w:rPr>
        <w:t> </w:t>
      </w:r>
      <w:r>
        <w:rPr>
          <w:color w:val="231F20"/>
          <w:sz w:val="18"/>
        </w:rPr>
        <w:t>1993</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Electricity Supply Act</w:t>
      </w:r>
      <w:r>
        <w:rPr>
          <w:color w:val="231F20"/>
          <w:spacing w:val="13"/>
          <w:sz w:val="18"/>
        </w:rPr>
        <w:t> </w:t>
      </w:r>
      <w:r>
        <w:rPr>
          <w:color w:val="231F20"/>
          <w:sz w:val="18"/>
        </w:rPr>
        <w:t>1995</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Sydney Water Act</w:t>
      </w:r>
      <w:r>
        <w:rPr>
          <w:color w:val="231F20"/>
          <w:spacing w:val="13"/>
          <w:sz w:val="18"/>
        </w:rPr>
        <w:t> </w:t>
      </w:r>
      <w:r>
        <w:rPr>
          <w:color w:val="231F20"/>
          <w:sz w:val="18"/>
        </w:rPr>
        <w:t>1994</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Heritage Act</w:t>
      </w:r>
      <w:r>
        <w:rPr>
          <w:color w:val="231F20"/>
          <w:spacing w:val="5"/>
          <w:sz w:val="18"/>
        </w:rPr>
        <w:t> </w:t>
      </w:r>
      <w:r>
        <w:rPr>
          <w:color w:val="231F20"/>
          <w:sz w:val="18"/>
        </w:rPr>
        <w:t>1977</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(SEPP) State Environmental Planning Policy (infrastructure)</w:t>
      </w:r>
      <w:r>
        <w:rPr>
          <w:color w:val="231F20"/>
          <w:spacing w:val="26"/>
          <w:sz w:val="18"/>
        </w:rPr>
        <w:t> </w:t>
      </w:r>
      <w:r>
        <w:rPr>
          <w:color w:val="231F20"/>
          <w:sz w:val="18"/>
        </w:rPr>
        <w:t>2007</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Marrickville  Local  Environment  Plan 2001</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Marrickville  Tree  Preservation  Order</w:t>
      </w:r>
      <w:r>
        <w:rPr>
          <w:color w:val="231F20"/>
          <w:spacing w:val="-5"/>
          <w:sz w:val="18"/>
        </w:rPr>
        <w:t> </w:t>
      </w:r>
      <w:r>
        <w:rPr>
          <w:color w:val="231F20"/>
          <w:sz w:val="18"/>
        </w:rPr>
        <w:t>2007</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AS 4373 Pruning Of Amenity</w:t>
      </w:r>
      <w:r>
        <w:rPr>
          <w:color w:val="231F20"/>
          <w:spacing w:val="26"/>
          <w:sz w:val="18"/>
        </w:rPr>
        <w:t> </w:t>
      </w:r>
      <w:r>
        <w:rPr>
          <w:color w:val="231F20"/>
          <w:sz w:val="18"/>
        </w:rPr>
        <w:t>Trees</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AS 4970 Protection of Trees on Development</w:t>
      </w:r>
      <w:r>
        <w:rPr>
          <w:color w:val="231F20"/>
          <w:spacing w:val="13"/>
          <w:sz w:val="18"/>
        </w:rPr>
        <w:t> </w:t>
      </w:r>
      <w:r>
        <w:rPr>
          <w:color w:val="231F20"/>
          <w:sz w:val="18"/>
        </w:rPr>
        <w:t>Sites</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Marrickville Urban Forest Strategy 2010</w:t>
      </w:r>
      <w:r>
        <w:rPr>
          <w:color w:val="231F20"/>
          <w:spacing w:val="0"/>
          <w:sz w:val="18"/>
        </w:rPr>
        <w:t> </w:t>
      </w:r>
      <w:r>
        <w:rPr>
          <w:color w:val="231F20"/>
          <w:sz w:val="18"/>
        </w:rPr>
        <w:t>(Draft)</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Local Government Amendment Planning and Reporting</w:t>
      </w:r>
      <w:r>
        <w:rPr>
          <w:color w:val="231F20"/>
          <w:spacing w:val="5"/>
          <w:sz w:val="18"/>
        </w:rPr>
        <w:t> </w:t>
      </w:r>
      <w:r>
        <w:rPr>
          <w:color w:val="231F20"/>
          <w:sz w:val="18"/>
        </w:rPr>
        <w:t>Bill</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Local</w:t>
      </w:r>
      <w:r>
        <w:rPr>
          <w:color w:val="231F20"/>
          <w:spacing w:val="12"/>
          <w:sz w:val="18"/>
        </w:rPr>
        <w:t> </w:t>
      </w:r>
      <w:r>
        <w:rPr>
          <w:color w:val="231F20"/>
          <w:sz w:val="18"/>
        </w:rPr>
        <w:t>Government</w:t>
      </w:r>
      <w:r>
        <w:rPr>
          <w:color w:val="231F20"/>
          <w:spacing w:val="12"/>
          <w:sz w:val="18"/>
        </w:rPr>
        <w:t> </w:t>
      </w:r>
      <w:r>
        <w:rPr>
          <w:color w:val="231F20"/>
          <w:sz w:val="18"/>
        </w:rPr>
        <w:t>(General)</w:t>
      </w:r>
      <w:r>
        <w:rPr>
          <w:color w:val="231F20"/>
          <w:spacing w:val="3"/>
          <w:sz w:val="18"/>
        </w:rPr>
        <w:t> </w:t>
      </w:r>
      <w:r>
        <w:rPr>
          <w:color w:val="231F20"/>
          <w:sz w:val="18"/>
        </w:rPr>
        <w:t>Amendment</w:t>
      </w:r>
      <w:r>
        <w:rPr>
          <w:color w:val="231F20"/>
          <w:spacing w:val="12"/>
          <w:sz w:val="18"/>
        </w:rPr>
        <w:t> </w:t>
      </w:r>
      <w:r>
        <w:rPr>
          <w:color w:val="231F20"/>
          <w:sz w:val="18"/>
        </w:rPr>
        <w:t>(Planning</w:t>
      </w:r>
      <w:r>
        <w:rPr>
          <w:color w:val="231F20"/>
          <w:spacing w:val="12"/>
          <w:sz w:val="18"/>
        </w:rPr>
        <w:t> </w:t>
      </w:r>
      <w:r>
        <w:rPr>
          <w:color w:val="231F20"/>
          <w:sz w:val="18"/>
        </w:rPr>
        <w:t>and</w:t>
      </w:r>
      <w:r>
        <w:rPr>
          <w:color w:val="231F20"/>
          <w:spacing w:val="12"/>
          <w:sz w:val="18"/>
        </w:rPr>
        <w:t> </w:t>
      </w:r>
      <w:r>
        <w:rPr>
          <w:color w:val="231F20"/>
          <w:sz w:val="18"/>
        </w:rPr>
        <w:t>Reporting)</w:t>
      </w:r>
      <w:r>
        <w:rPr>
          <w:color w:val="231F20"/>
          <w:spacing w:val="12"/>
          <w:sz w:val="18"/>
        </w:rPr>
        <w:t> </w:t>
      </w:r>
      <w:r>
        <w:rPr>
          <w:color w:val="231F20"/>
          <w:sz w:val="18"/>
        </w:rPr>
        <w:t>Regulation</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Marrickville Asset Management Policy</w:t>
      </w:r>
      <w:r>
        <w:rPr>
          <w:color w:val="231F20"/>
          <w:spacing w:val="25"/>
          <w:sz w:val="18"/>
        </w:rPr>
        <w:t> </w:t>
      </w:r>
      <w:r>
        <w:rPr>
          <w:color w:val="231F20"/>
          <w:sz w:val="18"/>
        </w:rPr>
        <w:t>2010:</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Marrickville Transportation Asset Management</w:t>
      </w:r>
      <w:r>
        <w:rPr>
          <w:color w:val="231F20"/>
          <w:spacing w:val="23"/>
          <w:sz w:val="18"/>
        </w:rPr>
        <w:t> </w:t>
      </w:r>
      <w:r>
        <w:rPr>
          <w:color w:val="231F20"/>
          <w:sz w:val="18"/>
        </w:rPr>
        <w:t>Plan</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Marrickville Parks Asset Management</w:t>
      </w:r>
      <w:r>
        <w:rPr>
          <w:color w:val="231F20"/>
          <w:spacing w:val="23"/>
          <w:sz w:val="18"/>
        </w:rPr>
        <w:t> </w:t>
      </w:r>
      <w:r>
        <w:rPr>
          <w:color w:val="231F20"/>
          <w:sz w:val="18"/>
        </w:rPr>
        <w:t>Plan</w:t>
      </w:r>
    </w:p>
    <w:p>
      <w:pPr>
        <w:pStyle w:val="ListParagraph"/>
        <w:numPr>
          <w:ilvl w:val="0"/>
          <w:numId w:val="2"/>
        </w:numPr>
        <w:tabs>
          <w:tab w:pos="873" w:val="left" w:leader="none"/>
        </w:tabs>
        <w:spacing w:line="240" w:lineRule="auto" w:before="93" w:after="0"/>
        <w:ind w:left="872" w:right="0" w:hanging="142"/>
        <w:jc w:val="left"/>
        <w:rPr>
          <w:sz w:val="18"/>
        </w:rPr>
      </w:pPr>
      <w:r>
        <w:rPr>
          <w:color w:val="231F20"/>
          <w:sz w:val="18"/>
        </w:rPr>
        <w:t>Marrickville Property Services Asset Management</w:t>
      </w:r>
      <w:r>
        <w:rPr>
          <w:color w:val="231F20"/>
          <w:spacing w:val="36"/>
          <w:sz w:val="18"/>
        </w:rPr>
        <w:t> </w:t>
      </w:r>
      <w:r>
        <w:rPr>
          <w:color w:val="231F20"/>
          <w:sz w:val="18"/>
        </w:rPr>
        <w:t>Plan</w:t>
      </w:r>
    </w:p>
    <w:p>
      <w:pPr>
        <w:pStyle w:val="BodyText"/>
        <w:spacing w:before="93"/>
        <w:ind w:left="730"/>
      </w:pPr>
      <w:r>
        <w:rPr>
          <w:color w:val="231F20"/>
        </w:rPr>
        <w:t> Marrickville Car Park Asset Management Plan</w:t>
      </w:r>
    </w:p>
    <w:p>
      <w:pPr>
        <w:pStyle w:val="BodyText"/>
        <w:rPr>
          <w:sz w:val="20"/>
        </w:rPr>
      </w:pPr>
    </w:p>
    <w:p>
      <w:pPr>
        <w:pStyle w:val="Heading2"/>
        <w:spacing w:before="120"/>
      </w:pPr>
      <w:r>
        <w:rPr>
          <w:color w:val="231F20"/>
        </w:rPr>
        <w:t>Background</w:t>
      </w:r>
    </w:p>
    <w:p>
      <w:pPr>
        <w:pStyle w:val="BodyText"/>
        <w:spacing w:before="2"/>
        <w:rPr>
          <w:b/>
          <w:sz w:val="33"/>
        </w:rPr>
      </w:pPr>
    </w:p>
    <w:p>
      <w:pPr>
        <w:pStyle w:val="BodyText"/>
        <w:spacing w:line="348" w:lineRule="auto" w:before="1"/>
        <w:ind w:left="390" w:right="280"/>
      </w:pPr>
      <w:r>
        <w:rPr>
          <w:color w:val="231F20"/>
        </w:rPr>
        <w:t>The draft Marrickville Urban Forest Strategy 2010 (MUFS) identifies the critical factors influencing    the</w:t>
      </w:r>
      <w:r>
        <w:rPr>
          <w:color w:val="231F20"/>
          <w:spacing w:val="16"/>
        </w:rPr>
        <w:t> </w:t>
      </w:r>
      <w:r>
        <w:rPr>
          <w:color w:val="231F20"/>
        </w:rPr>
        <w:t>urban</w:t>
      </w:r>
      <w:r>
        <w:rPr>
          <w:color w:val="231F20"/>
          <w:spacing w:val="16"/>
        </w:rPr>
        <w:t> </w:t>
      </w:r>
      <w:r>
        <w:rPr>
          <w:color w:val="231F20"/>
        </w:rPr>
        <w:t>forest</w:t>
      </w:r>
      <w:r>
        <w:rPr>
          <w:color w:val="231F20"/>
          <w:spacing w:val="16"/>
        </w:rPr>
        <w:t> </w:t>
      </w:r>
      <w:r>
        <w:rPr>
          <w:color w:val="231F20"/>
        </w:rPr>
        <w:t>in</w:t>
      </w:r>
      <w:r>
        <w:rPr>
          <w:color w:val="231F20"/>
          <w:spacing w:val="16"/>
        </w:rPr>
        <w:t> </w:t>
      </w:r>
      <w:r>
        <w:rPr>
          <w:color w:val="231F20"/>
        </w:rPr>
        <w:t>Marrickville</w:t>
      </w:r>
      <w:r>
        <w:rPr>
          <w:color w:val="231F20"/>
          <w:spacing w:val="16"/>
        </w:rPr>
        <w:t> </w:t>
      </w:r>
      <w:r>
        <w:rPr>
          <w:color w:val="231F20"/>
        </w:rPr>
        <w:t>and</w:t>
      </w:r>
      <w:r>
        <w:rPr>
          <w:color w:val="231F20"/>
          <w:spacing w:val="16"/>
        </w:rPr>
        <w:t> </w:t>
      </w:r>
      <w:r>
        <w:rPr>
          <w:color w:val="231F20"/>
        </w:rPr>
        <w:t>defines</w:t>
      </w:r>
      <w:r>
        <w:rPr>
          <w:color w:val="231F20"/>
          <w:spacing w:val="16"/>
        </w:rPr>
        <w:t> </w:t>
      </w:r>
      <w:r>
        <w:rPr>
          <w:color w:val="231F20"/>
        </w:rPr>
        <w:t>strategic</w:t>
      </w:r>
      <w:r>
        <w:rPr>
          <w:color w:val="231F20"/>
          <w:spacing w:val="16"/>
        </w:rPr>
        <w:t> </w:t>
      </w:r>
      <w:r>
        <w:rPr>
          <w:color w:val="231F20"/>
        </w:rPr>
        <w:t>actions</w:t>
      </w:r>
      <w:r>
        <w:rPr>
          <w:color w:val="231F20"/>
          <w:spacing w:val="16"/>
        </w:rPr>
        <w:t> </w:t>
      </w:r>
      <w:r>
        <w:rPr>
          <w:color w:val="231F20"/>
        </w:rPr>
        <w:t>required</w:t>
      </w:r>
      <w:r>
        <w:rPr>
          <w:color w:val="231F20"/>
          <w:spacing w:val="16"/>
        </w:rPr>
        <w:t> </w:t>
      </w:r>
      <w:r>
        <w:rPr>
          <w:color w:val="231F20"/>
        </w:rPr>
        <w:t>to</w:t>
      </w:r>
      <w:r>
        <w:rPr>
          <w:color w:val="231F20"/>
          <w:spacing w:val="16"/>
        </w:rPr>
        <w:t> </w:t>
      </w:r>
      <w:r>
        <w:rPr>
          <w:color w:val="231F20"/>
        </w:rPr>
        <w:t>maintain</w:t>
      </w:r>
      <w:r>
        <w:rPr>
          <w:color w:val="231F20"/>
          <w:spacing w:val="16"/>
        </w:rPr>
        <w:t> </w:t>
      </w:r>
      <w:r>
        <w:rPr>
          <w:color w:val="231F20"/>
        </w:rPr>
        <w:t>and</w:t>
      </w:r>
      <w:r>
        <w:rPr>
          <w:color w:val="231F20"/>
          <w:spacing w:val="16"/>
        </w:rPr>
        <w:t> </w:t>
      </w:r>
      <w:r>
        <w:rPr>
          <w:color w:val="231F20"/>
        </w:rPr>
        <w:t>increase</w:t>
      </w:r>
    </w:p>
    <w:p>
      <w:pPr>
        <w:pStyle w:val="BodyText"/>
        <w:spacing w:line="348" w:lineRule="auto" w:before="1"/>
        <w:ind w:left="390" w:right="280"/>
      </w:pPr>
      <w:r>
        <w:rPr>
          <w:color w:val="231F20"/>
        </w:rPr>
        <w:t>a healthy urban forest and its associated benefits. The policy statements contained within  this document relate to the stated strategic actions in the draft MUFS, with the aim of guiding the </w:t>
      </w:r>
      <w:r>
        <w:rPr>
          <w:color w:val="231F20"/>
          <w:spacing w:val="1"/>
        </w:rPr>
        <w:t>future </w:t>
      </w:r>
      <w:r>
        <w:rPr>
          <w:color w:val="231F20"/>
        </w:rPr>
        <w:t>management of Marrickville’s urban</w:t>
      </w:r>
      <w:r>
        <w:rPr>
          <w:color w:val="231F20"/>
          <w:spacing w:val="31"/>
        </w:rPr>
        <w:t> </w:t>
      </w:r>
      <w:r>
        <w:rPr>
          <w:color w:val="231F20"/>
        </w:rPr>
        <w:t>forest.</w:t>
      </w:r>
    </w:p>
    <w:p>
      <w:pPr>
        <w:pStyle w:val="BodyText"/>
        <w:spacing w:before="3"/>
        <w:rPr>
          <w:sz w:val="26"/>
        </w:rPr>
      </w:pPr>
    </w:p>
    <w:p>
      <w:pPr>
        <w:pStyle w:val="BodyText"/>
        <w:ind w:left="390"/>
      </w:pPr>
      <w:r>
        <w:rPr>
          <w:color w:val="231F20"/>
        </w:rPr>
        <w:t>This Policy replaces the following Marrickville Council Policies:</w:t>
      </w:r>
    </w:p>
    <w:p>
      <w:pPr>
        <w:pStyle w:val="ListParagraph"/>
        <w:numPr>
          <w:ilvl w:val="0"/>
          <w:numId w:val="3"/>
        </w:numPr>
        <w:tabs>
          <w:tab w:pos="873" w:val="left" w:leader="none"/>
        </w:tabs>
        <w:spacing w:line="240" w:lineRule="auto" w:before="93" w:after="0"/>
        <w:ind w:left="872" w:right="0" w:hanging="142"/>
        <w:jc w:val="left"/>
        <w:rPr>
          <w:sz w:val="18"/>
        </w:rPr>
      </w:pPr>
      <w:r>
        <w:rPr>
          <w:color w:val="231F20"/>
          <w:sz w:val="18"/>
        </w:rPr>
        <w:t>PR.3 – Tree</w:t>
      </w:r>
      <w:r>
        <w:rPr>
          <w:color w:val="231F20"/>
          <w:spacing w:val="17"/>
          <w:sz w:val="18"/>
        </w:rPr>
        <w:t> </w:t>
      </w:r>
      <w:r>
        <w:rPr>
          <w:color w:val="231F20"/>
          <w:spacing w:val="1"/>
          <w:sz w:val="18"/>
        </w:rPr>
        <w:t>Policy</w:t>
      </w:r>
    </w:p>
    <w:p>
      <w:pPr>
        <w:pStyle w:val="ListParagraph"/>
        <w:numPr>
          <w:ilvl w:val="0"/>
          <w:numId w:val="3"/>
        </w:numPr>
        <w:tabs>
          <w:tab w:pos="873" w:val="left" w:leader="none"/>
        </w:tabs>
        <w:spacing w:line="240" w:lineRule="auto" w:before="94" w:after="0"/>
        <w:ind w:left="872" w:right="0" w:hanging="142"/>
        <w:jc w:val="left"/>
        <w:rPr>
          <w:sz w:val="18"/>
        </w:rPr>
      </w:pPr>
      <w:r>
        <w:rPr>
          <w:color w:val="231F20"/>
          <w:sz w:val="18"/>
        </w:rPr>
        <w:t>PR.4 – Protection Of</w:t>
      </w:r>
      <w:r>
        <w:rPr>
          <w:color w:val="231F20"/>
          <w:spacing w:val="25"/>
          <w:sz w:val="18"/>
        </w:rPr>
        <w:t> </w:t>
      </w:r>
      <w:r>
        <w:rPr>
          <w:color w:val="231F20"/>
          <w:sz w:val="18"/>
        </w:rPr>
        <w:t>Trees</w:t>
      </w:r>
    </w:p>
    <w:p>
      <w:pPr>
        <w:pStyle w:val="ListParagraph"/>
        <w:numPr>
          <w:ilvl w:val="0"/>
          <w:numId w:val="3"/>
        </w:numPr>
        <w:tabs>
          <w:tab w:pos="873" w:val="left" w:leader="none"/>
        </w:tabs>
        <w:spacing w:line="240" w:lineRule="auto" w:before="93" w:after="0"/>
        <w:ind w:left="872" w:right="0" w:hanging="142"/>
        <w:jc w:val="left"/>
        <w:rPr>
          <w:sz w:val="18"/>
        </w:rPr>
      </w:pPr>
      <w:r>
        <w:rPr>
          <w:color w:val="231F20"/>
          <w:sz w:val="18"/>
        </w:rPr>
        <w:t>PR.6 – Tree Management</w:t>
      </w:r>
      <w:r>
        <w:rPr>
          <w:color w:val="231F20"/>
          <w:spacing w:val="25"/>
          <w:sz w:val="18"/>
        </w:rPr>
        <w:t> </w:t>
      </w:r>
      <w:r>
        <w:rPr>
          <w:color w:val="231F20"/>
          <w:spacing w:val="1"/>
          <w:sz w:val="18"/>
        </w:rPr>
        <w:t>Policy</w:t>
      </w:r>
    </w:p>
    <w:p>
      <w:pPr>
        <w:spacing w:before="86"/>
        <w:ind w:left="771" w:right="0" w:firstLine="0"/>
        <w:jc w:val="left"/>
        <w:rPr>
          <w:i/>
          <w:sz w:val="24"/>
        </w:rPr>
      </w:pPr>
      <w:r>
        <w:rPr/>
        <w:br w:type="column"/>
      </w:r>
      <w:r>
        <w:rPr>
          <w:i/>
          <w:color w:val="231F20"/>
          <w:sz w:val="24"/>
        </w:rPr>
        <w:t>Marrickville Council</w:t>
      </w:r>
    </w:p>
    <w:p>
      <w:pPr>
        <w:spacing w:before="25"/>
        <w:ind w:left="390" w:right="0" w:firstLine="0"/>
        <w:jc w:val="left"/>
        <w:rPr>
          <w:b/>
          <w:i/>
          <w:sz w:val="24"/>
        </w:rPr>
      </w:pPr>
      <w:r>
        <w:rPr>
          <w:b/>
          <w:i/>
          <w:color w:val="231F20"/>
          <w:sz w:val="24"/>
        </w:rPr>
        <w:t>Urban  Forest Strategy</w:t>
      </w:r>
    </w:p>
    <w:p>
      <w:pPr>
        <w:spacing w:after="0"/>
        <w:jc w:val="left"/>
        <w:rPr>
          <w:sz w:val="24"/>
        </w:rPr>
        <w:sectPr>
          <w:pgSz w:w="11910" w:h="16840"/>
          <w:pgMar w:header="0" w:footer="779" w:top="1280" w:bottom="960" w:left="460" w:right="440"/>
          <w:cols w:num="2" w:equalWidth="0">
            <w:col w:w="7226" w:space="153"/>
            <w:col w:w="3631"/>
          </w:cols>
        </w:sectPr>
      </w:pPr>
    </w:p>
    <w:p>
      <w:pPr>
        <w:spacing w:before="86"/>
        <w:ind w:left="1347" w:right="0" w:firstLine="0"/>
        <w:jc w:val="left"/>
        <w:rPr>
          <w:i/>
          <w:sz w:val="24"/>
        </w:rPr>
      </w:pPr>
      <w:r>
        <w:rPr/>
        <w:pict>
          <v:group style="position:absolute;margin-left:22.676901pt;margin-top:28.346714pt;width:530.1pt;height:771.05pt;mso-position-horizontal-relative:page;mso-position-vertical-relative:page;z-index:-95752" coordorigin="454,567" coordsize="10602,15421">
            <v:line style="position:absolute" from="3976,567" to="3976,15987" stroked="true" strokeweight=".25pt" strokecolor="#808285">
              <v:stroke dashstyle="solid"/>
            </v:line>
            <v:line style="position:absolute" from="11055,2059" to="454,2059" stroked="true" strokeweight=".25pt" strokecolor="#808285">
              <v:stroke dashstyle="solid"/>
            </v:line>
            <w10:wrap type="none"/>
          </v:group>
        </w:pict>
      </w:r>
      <w:r>
        <w:rPr>
          <w:i/>
          <w:color w:val="231F20"/>
          <w:sz w:val="24"/>
        </w:rPr>
        <w:t>Marrickville Council</w:t>
      </w:r>
    </w:p>
    <w:p>
      <w:pPr>
        <w:spacing w:before="25"/>
        <w:ind w:left="966" w:right="0" w:firstLine="0"/>
        <w:jc w:val="lef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1451" w:right="3875" w:firstLine="0"/>
        <w:jc w:val="center"/>
        <w:rPr>
          <w:b/>
          <w:sz w:val="24"/>
        </w:rPr>
      </w:pPr>
      <w:r>
        <w:rPr>
          <w:b/>
          <w:color w:val="231F20"/>
          <w:sz w:val="24"/>
        </w:rPr>
        <w:t>Objectives</w:t>
      </w:r>
    </w:p>
    <w:p>
      <w:pPr>
        <w:pStyle w:val="BodyText"/>
        <w:spacing w:before="1"/>
        <w:rPr>
          <w:b/>
          <w:sz w:val="32"/>
        </w:rPr>
      </w:pPr>
    </w:p>
    <w:p>
      <w:pPr>
        <w:pStyle w:val="ListParagraph"/>
        <w:numPr>
          <w:ilvl w:val="1"/>
          <w:numId w:val="3"/>
        </w:numPr>
        <w:tabs>
          <w:tab w:pos="4075" w:val="left" w:leader="none"/>
          <w:tab w:pos="4076" w:val="left" w:leader="none"/>
        </w:tabs>
        <w:spacing w:line="240" w:lineRule="auto" w:before="0" w:after="0"/>
        <w:ind w:left="4075" w:right="0" w:hanging="284"/>
        <w:jc w:val="left"/>
        <w:rPr>
          <w:sz w:val="18"/>
        </w:rPr>
      </w:pPr>
      <w:r>
        <w:rPr>
          <w:color w:val="231F20"/>
          <w:spacing w:val="-7"/>
          <w:sz w:val="18"/>
        </w:rPr>
        <w:t>To</w:t>
      </w:r>
      <w:r>
        <w:rPr>
          <w:color w:val="231F20"/>
          <w:spacing w:val="13"/>
          <w:sz w:val="18"/>
        </w:rPr>
        <w:t> </w:t>
      </w:r>
      <w:r>
        <w:rPr>
          <w:color w:val="231F20"/>
          <w:sz w:val="18"/>
        </w:rPr>
        <w:t>recognise</w:t>
      </w:r>
      <w:r>
        <w:rPr>
          <w:color w:val="231F20"/>
          <w:spacing w:val="13"/>
          <w:sz w:val="18"/>
        </w:rPr>
        <w:t> </w:t>
      </w:r>
      <w:r>
        <w:rPr>
          <w:color w:val="231F20"/>
          <w:sz w:val="18"/>
        </w:rPr>
        <w:t>and</w:t>
      </w:r>
      <w:r>
        <w:rPr>
          <w:color w:val="231F20"/>
          <w:spacing w:val="13"/>
          <w:sz w:val="18"/>
        </w:rPr>
        <w:t> </w:t>
      </w:r>
      <w:r>
        <w:rPr>
          <w:color w:val="231F20"/>
          <w:sz w:val="18"/>
        </w:rPr>
        <w:t>acknowledge</w:t>
      </w:r>
      <w:r>
        <w:rPr>
          <w:color w:val="231F20"/>
          <w:spacing w:val="13"/>
          <w:sz w:val="18"/>
        </w:rPr>
        <w:t> </w:t>
      </w:r>
      <w:r>
        <w:rPr>
          <w:color w:val="231F20"/>
          <w:sz w:val="18"/>
        </w:rPr>
        <w:t>the</w:t>
      </w:r>
      <w:r>
        <w:rPr>
          <w:color w:val="231F20"/>
          <w:spacing w:val="13"/>
          <w:sz w:val="18"/>
        </w:rPr>
        <w:t> </w:t>
      </w:r>
      <w:r>
        <w:rPr>
          <w:color w:val="231F20"/>
          <w:sz w:val="18"/>
        </w:rPr>
        <w:t>urban</w:t>
      </w:r>
      <w:r>
        <w:rPr>
          <w:color w:val="231F20"/>
          <w:spacing w:val="13"/>
          <w:sz w:val="18"/>
        </w:rPr>
        <w:t> </w:t>
      </w:r>
      <w:r>
        <w:rPr>
          <w:color w:val="231F20"/>
          <w:sz w:val="18"/>
        </w:rPr>
        <w:t>forest</w:t>
      </w:r>
      <w:r>
        <w:rPr>
          <w:color w:val="231F20"/>
          <w:spacing w:val="13"/>
          <w:sz w:val="18"/>
        </w:rPr>
        <w:t> </w:t>
      </w:r>
      <w:r>
        <w:rPr>
          <w:color w:val="231F20"/>
          <w:sz w:val="18"/>
        </w:rPr>
        <w:t>as</w:t>
      </w:r>
      <w:r>
        <w:rPr>
          <w:color w:val="231F20"/>
          <w:spacing w:val="13"/>
          <w:sz w:val="18"/>
        </w:rPr>
        <w:t> </w:t>
      </w:r>
      <w:r>
        <w:rPr>
          <w:color w:val="231F20"/>
          <w:sz w:val="18"/>
        </w:rPr>
        <w:t>a</w:t>
      </w:r>
      <w:r>
        <w:rPr>
          <w:color w:val="231F20"/>
          <w:spacing w:val="13"/>
          <w:sz w:val="18"/>
        </w:rPr>
        <w:t> </w:t>
      </w:r>
      <w:r>
        <w:rPr>
          <w:color w:val="231F20"/>
          <w:sz w:val="18"/>
        </w:rPr>
        <w:t>vital</w:t>
      </w:r>
      <w:r>
        <w:rPr>
          <w:color w:val="231F20"/>
          <w:spacing w:val="13"/>
          <w:sz w:val="18"/>
        </w:rPr>
        <w:t> </w:t>
      </w:r>
      <w:r>
        <w:rPr>
          <w:color w:val="231F20"/>
          <w:sz w:val="18"/>
        </w:rPr>
        <w:t>contributor</w:t>
      </w:r>
      <w:r>
        <w:rPr>
          <w:color w:val="231F20"/>
          <w:spacing w:val="13"/>
          <w:sz w:val="18"/>
        </w:rPr>
        <w:t> </w:t>
      </w:r>
      <w:r>
        <w:rPr>
          <w:color w:val="231F20"/>
          <w:sz w:val="18"/>
        </w:rPr>
        <w:t>to</w:t>
      </w:r>
      <w:r>
        <w:rPr>
          <w:color w:val="231F20"/>
          <w:spacing w:val="13"/>
          <w:sz w:val="18"/>
        </w:rPr>
        <w:t> </w:t>
      </w:r>
      <w:r>
        <w:rPr>
          <w:color w:val="231F20"/>
          <w:sz w:val="18"/>
        </w:rPr>
        <w:t>the</w:t>
      </w:r>
      <w:r>
        <w:rPr>
          <w:color w:val="231F20"/>
          <w:spacing w:val="13"/>
          <w:sz w:val="18"/>
        </w:rPr>
        <w:t> </w:t>
      </w:r>
      <w:r>
        <w:rPr>
          <w:color w:val="231F20"/>
          <w:sz w:val="18"/>
        </w:rPr>
        <w:t>social,</w:t>
      </w:r>
      <w:r>
        <w:rPr>
          <w:color w:val="231F20"/>
          <w:spacing w:val="13"/>
          <w:sz w:val="18"/>
        </w:rPr>
        <w:t> </w:t>
      </w:r>
      <w:r>
        <w:rPr>
          <w:color w:val="231F20"/>
          <w:sz w:val="18"/>
        </w:rPr>
        <w:t>ecological</w:t>
      </w:r>
    </w:p>
    <w:p>
      <w:pPr>
        <w:pStyle w:val="BodyText"/>
        <w:spacing w:before="94"/>
        <w:ind w:left="4075"/>
      </w:pPr>
      <w:r>
        <w:rPr>
          <w:color w:val="231F20"/>
        </w:rPr>
        <w:t>and economic health and well-being of Marrickville and its citizens.</w:t>
      </w:r>
    </w:p>
    <w:p>
      <w:pPr>
        <w:pStyle w:val="BodyText"/>
        <w:rPr>
          <w:sz w:val="20"/>
        </w:rPr>
      </w:pPr>
    </w:p>
    <w:p>
      <w:pPr>
        <w:pStyle w:val="ListParagraph"/>
        <w:numPr>
          <w:ilvl w:val="1"/>
          <w:numId w:val="3"/>
        </w:numPr>
        <w:tabs>
          <w:tab w:pos="4075" w:val="left" w:leader="none"/>
          <w:tab w:pos="4076" w:val="left" w:leader="none"/>
        </w:tabs>
        <w:spacing w:line="240" w:lineRule="auto" w:before="164" w:after="0"/>
        <w:ind w:left="4075" w:right="0" w:hanging="284"/>
        <w:jc w:val="left"/>
        <w:rPr>
          <w:sz w:val="18"/>
        </w:rPr>
      </w:pPr>
      <w:r>
        <w:rPr>
          <w:color w:val="231F20"/>
          <w:spacing w:val="-7"/>
          <w:sz w:val="18"/>
        </w:rPr>
        <w:t>To</w:t>
      </w:r>
      <w:r>
        <w:rPr>
          <w:color w:val="231F20"/>
          <w:spacing w:val="11"/>
          <w:sz w:val="18"/>
        </w:rPr>
        <w:t> </w:t>
      </w:r>
      <w:r>
        <w:rPr>
          <w:color w:val="231F20"/>
          <w:sz w:val="18"/>
        </w:rPr>
        <w:t>maximise</w:t>
      </w:r>
      <w:r>
        <w:rPr>
          <w:color w:val="231F20"/>
          <w:spacing w:val="11"/>
          <w:sz w:val="18"/>
        </w:rPr>
        <w:t> </w:t>
      </w:r>
      <w:r>
        <w:rPr>
          <w:color w:val="231F20"/>
          <w:sz w:val="18"/>
        </w:rPr>
        <w:t>and</w:t>
      </w:r>
      <w:r>
        <w:rPr>
          <w:color w:val="231F20"/>
          <w:spacing w:val="11"/>
          <w:sz w:val="18"/>
        </w:rPr>
        <w:t> </w:t>
      </w:r>
      <w:r>
        <w:rPr>
          <w:color w:val="231F20"/>
          <w:sz w:val="18"/>
        </w:rPr>
        <w:t>perpetuate</w:t>
      </w:r>
      <w:r>
        <w:rPr>
          <w:color w:val="231F20"/>
          <w:spacing w:val="11"/>
          <w:sz w:val="18"/>
        </w:rPr>
        <w:t> </w:t>
      </w:r>
      <w:r>
        <w:rPr>
          <w:color w:val="231F20"/>
          <w:sz w:val="18"/>
        </w:rPr>
        <w:t>the</w:t>
      </w:r>
      <w:r>
        <w:rPr>
          <w:color w:val="231F20"/>
          <w:spacing w:val="11"/>
          <w:sz w:val="18"/>
        </w:rPr>
        <w:t> </w:t>
      </w:r>
      <w:r>
        <w:rPr>
          <w:color w:val="231F20"/>
          <w:sz w:val="18"/>
        </w:rPr>
        <w:t>capacity</w:t>
      </w:r>
      <w:r>
        <w:rPr>
          <w:color w:val="231F20"/>
          <w:spacing w:val="11"/>
          <w:sz w:val="18"/>
        </w:rPr>
        <w:t> </w:t>
      </w:r>
      <w:r>
        <w:rPr>
          <w:color w:val="231F20"/>
          <w:sz w:val="18"/>
        </w:rPr>
        <w:t>of</w:t>
      </w:r>
      <w:r>
        <w:rPr>
          <w:color w:val="231F20"/>
          <w:spacing w:val="11"/>
          <w:sz w:val="18"/>
        </w:rPr>
        <w:t> </w:t>
      </w:r>
      <w:r>
        <w:rPr>
          <w:color w:val="231F20"/>
          <w:sz w:val="18"/>
        </w:rPr>
        <w:t>Marrickville’s</w:t>
      </w:r>
      <w:r>
        <w:rPr>
          <w:color w:val="231F20"/>
          <w:spacing w:val="11"/>
          <w:sz w:val="18"/>
        </w:rPr>
        <w:t> </w:t>
      </w:r>
      <w:r>
        <w:rPr>
          <w:color w:val="231F20"/>
          <w:sz w:val="18"/>
        </w:rPr>
        <w:t>urban</w:t>
      </w:r>
      <w:r>
        <w:rPr>
          <w:color w:val="231F20"/>
          <w:spacing w:val="11"/>
          <w:sz w:val="18"/>
        </w:rPr>
        <w:t> </w:t>
      </w:r>
      <w:r>
        <w:rPr>
          <w:color w:val="231F20"/>
          <w:sz w:val="18"/>
        </w:rPr>
        <w:t>forest</w:t>
      </w:r>
      <w:r>
        <w:rPr>
          <w:color w:val="231F20"/>
          <w:spacing w:val="11"/>
          <w:sz w:val="18"/>
        </w:rPr>
        <w:t> </w:t>
      </w:r>
      <w:r>
        <w:rPr>
          <w:color w:val="231F20"/>
          <w:sz w:val="18"/>
        </w:rPr>
        <w:t>to</w:t>
      </w:r>
      <w:r>
        <w:rPr>
          <w:color w:val="231F20"/>
          <w:spacing w:val="11"/>
          <w:sz w:val="18"/>
        </w:rPr>
        <w:t> </w:t>
      </w:r>
      <w:r>
        <w:rPr>
          <w:color w:val="231F20"/>
          <w:sz w:val="18"/>
        </w:rPr>
        <w:t>provide</w:t>
      </w:r>
      <w:r>
        <w:rPr>
          <w:color w:val="231F20"/>
          <w:spacing w:val="11"/>
          <w:sz w:val="18"/>
        </w:rPr>
        <w:t> </w:t>
      </w:r>
      <w:r>
        <w:rPr>
          <w:color w:val="231F20"/>
          <w:sz w:val="18"/>
        </w:rPr>
        <w:t>social,</w:t>
      </w:r>
    </w:p>
    <w:p>
      <w:pPr>
        <w:pStyle w:val="BodyText"/>
        <w:spacing w:before="93"/>
        <w:ind w:left="4075"/>
      </w:pPr>
      <w:r>
        <w:rPr>
          <w:color w:val="231F20"/>
        </w:rPr>
        <w:t>ecological, economic and amenity benefits.</w:t>
      </w:r>
    </w:p>
    <w:p>
      <w:pPr>
        <w:pStyle w:val="BodyText"/>
        <w:rPr>
          <w:sz w:val="20"/>
        </w:rPr>
      </w:pPr>
    </w:p>
    <w:p>
      <w:pPr>
        <w:pStyle w:val="ListParagraph"/>
        <w:numPr>
          <w:ilvl w:val="1"/>
          <w:numId w:val="3"/>
        </w:numPr>
        <w:tabs>
          <w:tab w:pos="4075" w:val="left" w:leader="none"/>
          <w:tab w:pos="4076" w:val="left" w:leader="none"/>
        </w:tabs>
        <w:spacing w:line="240" w:lineRule="auto" w:before="164" w:after="0"/>
        <w:ind w:left="4075" w:right="0" w:hanging="284"/>
        <w:jc w:val="left"/>
        <w:rPr>
          <w:sz w:val="18"/>
        </w:rPr>
      </w:pPr>
      <w:r>
        <w:rPr>
          <w:color w:val="231F20"/>
          <w:spacing w:val="-7"/>
          <w:sz w:val="18"/>
        </w:rPr>
        <w:t>To</w:t>
      </w:r>
      <w:r>
        <w:rPr>
          <w:color w:val="231F20"/>
          <w:spacing w:val="12"/>
          <w:sz w:val="18"/>
        </w:rPr>
        <w:t> </w:t>
      </w:r>
      <w:r>
        <w:rPr>
          <w:color w:val="231F20"/>
          <w:sz w:val="18"/>
        </w:rPr>
        <w:t>sustain</w:t>
      </w:r>
      <w:r>
        <w:rPr>
          <w:color w:val="231F20"/>
          <w:spacing w:val="12"/>
          <w:sz w:val="18"/>
        </w:rPr>
        <w:t> </w:t>
      </w:r>
      <w:r>
        <w:rPr>
          <w:color w:val="231F20"/>
          <w:sz w:val="18"/>
        </w:rPr>
        <w:t>and</w:t>
      </w:r>
      <w:r>
        <w:rPr>
          <w:color w:val="231F20"/>
          <w:spacing w:val="12"/>
          <w:sz w:val="18"/>
        </w:rPr>
        <w:t> </w:t>
      </w:r>
      <w:r>
        <w:rPr>
          <w:color w:val="231F20"/>
          <w:sz w:val="18"/>
        </w:rPr>
        <w:t>increase</w:t>
      </w:r>
      <w:r>
        <w:rPr>
          <w:color w:val="231F20"/>
          <w:spacing w:val="12"/>
          <w:sz w:val="18"/>
        </w:rPr>
        <w:t> </w:t>
      </w:r>
      <w:r>
        <w:rPr>
          <w:color w:val="231F20"/>
          <w:sz w:val="18"/>
        </w:rPr>
        <w:t>Marrickville’s</w:t>
      </w:r>
      <w:r>
        <w:rPr>
          <w:color w:val="231F20"/>
          <w:spacing w:val="12"/>
          <w:sz w:val="18"/>
        </w:rPr>
        <w:t> </w:t>
      </w:r>
      <w:r>
        <w:rPr>
          <w:color w:val="231F20"/>
          <w:sz w:val="18"/>
        </w:rPr>
        <w:t>urban</w:t>
      </w:r>
      <w:r>
        <w:rPr>
          <w:color w:val="231F20"/>
          <w:spacing w:val="12"/>
          <w:sz w:val="18"/>
        </w:rPr>
        <w:t> </w:t>
      </w:r>
      <w:r>
        <w:rPr>
          <w:color w:val="231F20"/>
          <w:sz w:val="18"/>
        </w:rPr>
        <w:t>forest</w:t>
      </w:r>
      <w:r>
        <w:rPr>
          <w:color w:val="231F20"/>
          <w:spacing w:val="12"/>
          <w:sz w:val="18"/>
        </w:rPr>
        <w:t> </w:t>
      </w:r>
      <w:r>
        <w:rPr>
          <w:color w:val="231F20"/>
          <w:sz w:val="18"/>
        </w:rPr>
        <w:t>on</w:t>
      </w:r>
      <w:r>
        <w:rPr>
          <w:color w:val="231F20"/>
          <w:spacing w:val="12"/>
          <w:sz w:val="18"/>
        </w:rPr>
        <w:t> </w:t>
      </w:r>
      <w:r>
        <w:rPr>
          <w:color w:val="231F20"/>
          <w:sz w:val="18"/>
        </w:rPr>
        <w:t>an</w:t>
      </w:r>
      <w:r>
        <w:rPr>
          <w:color w:val="231F20"/>
          <w:spacing w:val="12"/>
          <w:sz w:val="18"/>
        </w:rPr>
        <w:t> </w:t>
      </w:r>
      <w:r>
        <w:rPr>
          <w:color w:val="231F20"/>
          <w:sz w:val="18"/>
        </w:rPr>
        <w:t>intergenerational</w:t>
      </w:r>
      <w:r>
        <w:rPr>
          <w:color w:val="231F20"/>
          <w:spacing w:val="12"/>
          <w:sz w:val="18"/>
        </w:rPr>
        <w:t> </w:t>
      </w:r>
      <w:r>
        <w:rPr>
          <w:color w:val="231F20"/>
          <w:sz w:val="18"/>
        </w:rPr>
        <w:t>life</w:t>
      </w:r>
      <w:r>
        <w:rPr>
          <w:color w:val="231F20"/>
          <w:spacing w:val="12"/>
          <w:sz w:val="18"/>
        </w:rPr>
        <w:t> </w:t>
      </w:r>
      <w:r>
        <w:rPr>
          <w:color w:val="231F20"/>
          <w:sz w:val="18"/>
        </w:rPr>
        <w:t>cycle</w:t>
      </w:r>
      <w:r>
        <w:rPr>
          <w:color w:val="231F20"/>
          <w:spacing w:val="12"/>
          <w:sz w:val="18"/>
        </w:rPr>
        <w:t> </w:t>
      </w:r>
      <w:r>
        <w:rPr>
          <w:color w:val="231F20"/>
          <w:spacing w:val="1"/>
          <w:sz w:val="18"/>
        </w:rPr>
        <w:t>basis.</w:t>
      </w:r>
    </w:p>
    <w:p>
      <w:pPr>
        <w:pStyle w:val="BodyText"/>
        <w:rPr>
          <w:sz w:val="20"/>
        </w:rPr>
      </w:pPr>
    </w:p>
    <w:p>
      <w:pPr>
        <w:pStyle w:val="Heading2"/>
        <w:spacing w:before="120"/>
        <w:ind w:left="1933" w:right="3875"/>
        <w:jc w:val="center"/>
      </w:pPr>
      <w:r>
        <w:rPr>
          <w:color w:val="231F20"/>
        </w:rPr>
        <w:t>Policy Statment</w:t>
      </w:r>
    </w:p>
    <w:p>
      <w:pPr>
        <w:pStyle w:val="BodyText"/>
        <w:spacing w:before="6"/>
        <w:rPr>
          <w:b/>
          <w:sz w:val="31"/>
        </w:rPr>
      </w:pPr>
    </w:p>
    <w:p>
      <w:pPr>
        <w:pStyle w:val="Heading3"/>
        <w:numPr>
          <w:ilvl w:val="0"/>
          <w:numId w:val="4"/>
        </w:numPr>
        <w:tabs>
          <w:tab w:pos="3987" w:val="left" w:leader="none"/>
        </w:tabs>
        <w:spacing w:line="240" w:lineRule="auto" w:before="0" w:after="0"/>
        <w:ind w:left="3986" w:right="0" w:hanging="195"/>
        <w:jc w:val="left"/>
      </w:pPr>
      <w:r>
        <w:rPr>
          <w:color w:val="231F20"/>
          <w:spacing w:val="1"/>
        </w:rPr>
        <w:t>Urban Forest</w:t>
      </w:r>
      <w:r>
        <w:rPr>
          <w:color w:val="231F20"/>
          <w:spacing w:val="13"/>
        </w:rPr>
        <w:t> </w:t>
      </w:r>
      <w:r>
        <w:rPr>
          <w:color w:val="231F20"/>
          <w:spacing w:val="2"/>
        </w:rPr>
        <w:t>Protection</w:t>
      </w:r>
    </w:p>
    <w:p>
      <w:pPr>
        <w:pStyle w:val="ListParagraph"/>
        <w:numPr>
          <w:ilvl w:val="1"/>
          <w:numId w:val="4"/>
        </w:numPr>
        <w:tabs>
          <w:tab w:pos="4274" w:val="left" w:leader="none"/>
        </w:tabs>
        <w:spacing w:line="240" w:lineRule="auto" w:before="89" w:after="0"/>
        <w:ind w:left="4273" w:right="0" w:hanging="141"/>
        <w:jc w:val="left"/>
        <w:rPr>
          <w:sz w:val="18"/>
        </w:rPr>
      </w:pPr>
      <w:r>
        <w:rPr>
          <w:color w:val="231F20"/>
          <w:sz w:val="18"/>
        </w:rPr>
        <w:t>Council</w:t>
      </w:r>
      <w:r>
        <w:rPr>
          <w:color w:val="231F20"/>
          <w:spacing w:val="12"/>
          <w:sz w:val="18"/>
        </w:rPr>
        <w:t> </w:t>
      </w:r>
      <w:r>
        <w:rPr>
          <w:color w:val="231F20"/>
          <w:sz w:val="18"/>
        </w:rPr>
        <w:t>will</w:t>
      </w:r>
      <w:r>
        <w:rPr>
          <w:color w:val="231F20"/>
          <w:spacing w:val="12"/>
          <w:sz w:val="18"/>
        </w:rPr>
        <w:t> </w:t>
      </w:r>
      <w:r>
        <w:rPr>
          <w:color w:val="231F20"/>
          <w:sz w:val="18"/>
        </w:rPr>
        <w:t>regulate</w:t>
      </w:r>
      <w:r>
        <w:rPr>
          <w:color w:val="231F20"/>
          <w:spacing w:val="12"/>
          <w:sz w:val="18"/>
        </w:rPr>
        <w:t> </w:t>
      </w:r>
      <w:r>
        <w:rPr>
          <w:color w:val="231F20"/>
          <w:sz w:val="18"/>
        </w:rPr>
        <w:t>tree</w:t>
      </w:r>
      <w:r>
        <w:rPr>
          <w:color w:val="231F20"/>
          <w:spacing w:val="12"/>
          <w:sz w:val="18"/>
        </w:rPr>
        <w:t> </w:t>
      </w:r>
      <w:r>
        <w:rPr>
          <w:color w:val="231F20"/>
          <w:sz w:val="18"/>
        </w:rPr>
        <w:t>pruning</w:t>
      </w:r>
      <w:r>
        <w:rPr>
          <w:color w:val="231F20"/>
          <w:spacing w:val="12"/>
          <w:sz w:val="18"/>
        </w:rPr>
        <w:t> </w:t>
      </w:r>
      <w:r>
        <w:rPr>
          <w:color w:val="231F20"/>
          <w:sz w:val="18"/>
        </w:rPr>
        <w:t>and</w:t>
      </w:r>
      <w:r>
        <w:rPr>
          <w:color w:val="231F20"/>
          <w:spacing w:val="12"/>
          <w:sz w:val="18"/>
        </w:rPr>
        <w:t> </w:t>
      </w:r>
      <w:r>
        <w:rPr>
          <w:color w:val="231F20"/>
          <w:sz w:val="18"/>
        </w:rPr>
        <w:t>removal</w:t>
      </w:r>
      <w:r>
        <w:rPr>
          <w:color w:val="231F20"/>
          <w:spacing w:val="12"/>
          <w:sz w:val="18"/>
        </w:rPr>
        <w:t> </w:t>
      </w:r>
      <w:r>
        <w:rPr>
          <w:color w:val="231F20"/>
          <w:sz w:val="18"/>
        </w:rPr>
        <w:t>activities</w:t>
      </w:r>
      <w:r>
        <w:rPr>
          <w:color w:val="231F20"/>
          <w:spacing w:val="12"/>
          <w:sz w:val="18"/>
        </w:rPr>
        <w:t> </w:t>
      </w:r>
      <w:r>
        <w:rPr>
          <w:color w:val="231F20"/>
          <w:sz w:val="18"/>
        </w:rPr>
        <w:t>through</w:t>
      </w:r>
      <w:r>
        <w:rPr>
          <w:color w:val="231F20"/>
          <w:spacing w:val="12"/>
          <w:sz w:val="18"/>
        </w:rPr>
        <w:t> </w:t>
      </w:r>
      <w:r>
        <w:rPr>
          <w:color w:val="231F20"/>
          <w:sz w:val="18"/>
        </w:rPr>
        <w:t>its</w:t>
      </w:r>
      <w:r>
        <w:rPr>
          <w:color w:val="231F20"/>
          <w:spacing w:val="8"/>
          <w:sz w:val="18"/>
        </w:rPr>
        <w:t> </w:t>
      </w:r>
      <w:r>
        <w:rPr>
          <w:color w:val="231F20"/>
          <w:sz w:val="18"/>
        </w:rPr>
        <w:t>Tree</w:t>
      </w:r>
      <w:r>
        <w:rPr>
          <w:color w:val="231F20"/>
          <w:spacing w:val="12"/>
          <w:sz w:val="18"/>
        </w:rPr>
        <w:t> </w:t>
      </w:r>
      <w:r>
        <w:rPr>
          <w:color w:val="231F20"/>
          <w:sz w:val="18"/>
        </w:rPr>
        <w:t>Management</w:t>
      </w:r>
    </w:p>
    <w:p>
      <w:pPr>
        <w:pStyle w:val="BodyText"/>
        <w:spacing w:before="34"/>
        <w:ind w:left="3275" w:right="3875"/>
        <w:jc w:val="center"/>
      </w:pPr>
      <w:r>
        <w:rPr>
          <w:color w:val="231F20"/>
        </w:rPr>
        <w:t>Development Control Plan.</w:t>
      </w:r>
    </w:p>
    <w:p>
      <w:pPr>
        <w:pStyle w:val="ListParagraph"/>
        <w:numPr>
          <w:ilvl w:val="1"/>
          <w:numId w:val="4"/>
        </w:numPr>
        <w:tabs>
          <w:tab w:pos="4274" w:val="left" w:leader="none"/>
        </w:tabs>
        <w:spacing w:line="240" w:lineRule="auto" w:before="93" w:after="0"/>
        <w:ind w:left="4273" w:right="0" w:hanging="141"/>
        <w:jc w:val="left"/>
        <w:rPr>
          <w:sz w:val="18"/>
        </w:rPr>
      </w:pPr>
      <w:r>
        <w:rPr>
          <w:color w:val="231F20"/>
          <w:sz w:val="18"/>
        </w:rPr>
        <w:t>Council</w:t>
      </w:r>
      <w:r>
        <w:rPr>
          <w:color w:val="231F20"/>
          <w:spacing w:val="15"/>
          <w:sz w:val="18"/>
        </w:rPr>
        <w:t> </w:t>
      </w:r>
      <w:r>
        <w:rPr>
          <w:color w:val="231F20"/>
          <w:sz w:val="18"/>
        </w:rPr>
        <w:t>will</w:t>
      </w:r>
      <w:r>
        <w:rPr>
          <w:color w:val="231F20"/>
          <w:spacing w:val="15"/>
          <w:sz w:val="18"/>
        </w:rPr>
        <w:t> </w:t>
      </w:r>
      <w:r>
        <w:rPr>
          <w:color w:val="231F20"/>
          <w:sz w:val="18"/>
        </w:rPr>
        <w:t>ensure</w:t>
      </w:r>
      <w:r>
        <w:rPr>
          <w:color w:val="231F20"/>
          <w:spacing w:val="15"/>
          <w:sz w:val="18"/>
        </w:rPr>
        <w:t> </w:t>
      </w:r>
      <w:r>
        <w:rPr>
          <w:color w:val="231F20"/>
          <w:sz w:val="18"/>
        </w:rPr>
        <w:t>that</w:t>
      </w:r>
      <w:r>
        <w:rPr>
          <w:color w:val="231F20"/>
          <w:spacing w:val="15"/>
          <w:sz w:val="18"/>
        </w:rPr>
        <w:t> </w:t>
      </w:r>
      <w:r>
        <w:rPr>
          <w:color w:val="231F20"/>
          <w:sz w:val="18"/>
        </w:rPr>
        <w:t>Development</w:t>
      </w:r>
      <w:r>
        <w:rPr>
          <w:color w:val="231F20"/>
          <w:spacing w:val="5"/>
          <w:sz w:val="18"/>
        </w:rPr>
        <w:t> </w:t>
      </w:r>
      <w:r>
        <w:rPr>
          <w:color w:val="231F20"/>
          <w:sz w:val="18"/>
        </w:rPr>
        <w:t>Applications</w:t>
      </w:r>
      <w:r>
        <w:rPr>
          <w:color w:val="231F20"/>
          <w:spacing w:val="15"/>
          <w:sz w:val="18"/>
        </w:rPr>
        <w:t> </w:t>
      </w:r>
      <w:r>
        <w:rPr>
          <w:color w:val="231F20"/>
          <w:sz w:val="18"/>
        </w:rPr>
        <w:t>include</w:t>
      </w:r>
      <w:r>
        <w:rPr>
          <w:color w:val="231F20"/>
          <w:spacing w:val="15"/>
          <w:sz w:val="18"/>
        </w:rPr>
        <w:t> </w:t>
      </w:r>
      <w:r>
        <w:rPr>
          <w:color w:val="231F20"/>
          <w:sz w:val="18"/>
        </w:rPr>
        <w:t>all</w:t>
      </w:r>
      <w:r>
        <w:rPr>
          <w:color w:val="231F20"/>
          <w:spacing w:val="15"/>
          <w:sz w:val="18"/>
        </w:rPr>
        <w:t> </w:t>
      </w:r>
      <w:r>
        <w:rPr>
          <w:color w:val="231F20"/>
          <w:sz w:val="18"/>
        </w:rPr>
        <w:t>requisite</w:t>
      </w:r>
      <w:r>
        <w:rPr>
          <w:color w:val="231F20"/>
          <w:spacing w:val="15"/>
          <w:sz w:val="18"/>
        </w:rPr>
        <w:t> </w:t>
      </w:r>
      <w:r>
        <w:rPr>
          <w:color w:val="231F20"/>
          <w:sz w:val="18"/>
        </w:rPr>
        <w:t>information</w:t>
      </w:r>
      <w:r>
        <w:rPr>
          <w:color w:val="231F20"/>
          <w:spacing w:val="15"/>
          <w:sz w:val="18"/>
        </w:rPr>
        <w:t> </w:t>
      </w:r>
      <w:r>
        <w:rPr>
          <w:color w:val="231F20"/>
          <w:sz w:val="18"/>
        </w:rPr>
        <w:t>to</w:t>
      </w:r>
      <w:r>
        <w:rPr>
          <w:color w:val="231F20"/>
          <w:spacing w:val="15"/>
          <w:sz w:val="18"/>
        </w:rPr>
        <w:t> </w:t>
      </w:r>
      <w:r>
        <w:rPr>
          <w:color w:val="231F20"/>
          <w:sz w:val="18"/>
        </w:rPr>
        <w:t>allow</w:t>
      </w:r>
    </w:p>
    <w:p>
      <w:pPr>
        <w:pStyle w:val="BodyText"/>
        <w:spacing w:before="34"/>
        <w:ind w:left="4273"/>
      </w:pPr>
      <w:r>
        <w:rPr>
          <w:color w:val="231F20"/>
        </w:rPr>
        <w:t>the comprehensive assessment of potential impacts on trees.</w:t>
      </w:r>
    </w:p>
    <w:p>
      <w:pPr>
        <w:pStyle w:val="ListParagraph"/>
        <w:numPr>
          <w:ilvl w:val="1"/>
          <w:numId w:val="4"/>
        </w:numPr>
        <w:tabs>
          <w:tab w:pos="4274" w:val="left" w:leader="none"/>
        </w:tabs>
        <w:spacing w:line="240" w:lineRule="auto" w:before="93" w:after="0"/>
        <w:ind w:left="4273" w:right="0" w:hanging="141"/>
        <w:jc w:val="left"/>
        <w:rPr>
          <w:sz w:val="18"/>
        </w:rPr>
      </w:pPr>
      <w:r>
        <w:rPr>
          <w:color w:val="231F20"/>
          <w:sz w:val="18"/>
        </w:rPr>
        <w:t>Council</w:t>
      </w:r>
      <w:r>
        <w:rPr>
          <w:color w:val="231F20"/>
          <w:spacing w:val="15"/>
          <w:sz w:val="18"/>
        </w:rPr>
        <w:t> </w:t>
      </w:r>
      <w:r>
        <w:rPr>
          <w:color w:val="231F20"/>
          <w:sz w:val="18"/>
        </w:rPr>
        <w:t>will</w:t>
      </w:r>
      <w:r>
        <w:rPr>
          <w:color w:val="231F20"/>
          <w:spacing w:val="15"/>
          <w:sz w:val="18"/>
        </w:rPr>
        <w:t> </w:t>
      </w:r>
      <w:r>
        <w:rPr>
          <w:color w:val="231F20"/>
          <w:sz w:val="18"/>
        </w:rPr>
        <w:t>ensure</w:t>
      </w:r>
      <w:r>
        <w:rPr>
          <w:color w:val="231F20"/>
          <w:spacing w:val="15"/>
          <w:sz w:val="18"/>
        </w:rPr>
        <w:t> </w:t>
      </w:r>
      <w:r>
        <w:rPr>
          <w:color w:val="231F20"/>
          <w:sz w:val="18"/>
        </w:rPr>
        <w:t>the</w:t>
      </w:r>
      <w:r>
        <w:rPr>
          <w:color w:val="231F20"/>
          <w:spacing w:val="15"/>
          <w:sz w:val="18"/>
        </w:rPr>
        <w:t> </w:t>
      </w:r>
      <w:r>
        <w:rPr>
          <w:color w:val="231F20"/>
          <w:sz w:val="18"/>
        </w:rPr>
        <w:t>protection</w:t>
      </w:r>
      <w:r>
        <w:rPr>
          <w:color w:val="231F20"/>
          <w:spacing w:val="15"/>
          <w:sz w:val="18"/>
        </w:rPr>
        <w:t> </w:t>
      </w:r>
      <w:r>
        <w:rPr>
          <w:color w:val="231F20"/>
          <w:sz w:val="18"/>
        </w:rPr>
        <w:t>of</w:t>
      </w:r>
      <w:r>
        <w:rPr>
          <w:color w:val="231F20"/>
          <w:spacing w:val="15"/>
          <w:sz w:val="18"/>
        </w:rPr>
        <w:t> </w:t>
      </w:r>
      <w:r>
        <w:rPr>
          <w:color w:val="231F20"/>
          <w:sz w:val="18"/>
        </w:rPr>
        <w:t>public</w:t>
      </w:r>
      <w:r>
        <w:rPr>
          <w:color w:val="231F20"/>
          <w:spacing w:val="15"/>
          <w:sz w:val="18"/>
        </w:rPr>
        <w:t> </w:t>
      </w:r>
      <w:r>
        <w:rPr>
          <w:color w:val="231F20"/>
          <w:sz w:val="18"/>
        </w:rPr>
        <w:t>trees</w:t>
      </w:r>
      <w:r>
        <w:rPr>
          <w:color w:val="231F20"/>
          <w:spacing w:val="15"/>
          <w:sz w:val="18"/>
        </w:rPr>
        <w:t> </w:t>
      </w:r>
      <w:r>
        <w:rPr>
          <w:color w:val="231F20"/>
          <w:sz w:val="18"/>
        </w:rPr>
        <w:t>directly</w:t>
      </w:r>
      <w:r>
        <w:rPr>
          <w:color w:val="231F20"/>
          <w:spacing w:val="15"/>
          <w:sz w:val="18"/>
        </w:rPr>
        <w:t> </w:t>
      </w:r>
      <w:r>
        <w:rPr>
          <w:color w:val="231F20"/>
          <w:sz w:val="18"/>
        </w:rPr>
        <w:t>affected</w:t>
      </w:r>
      <w:r>
        <w:rPr>
          <w:color w:val="231F20"/>
          <w:spacing w:val="15"/>
          <w:sz w:val="18"/>
        </w:rPr>
        <w:t> </w:t>
      </w:r>
      <w:r>
        <w:rPr>
          <w:color w:val="231F20"/>
          <w:sz w:val="18"/>
        </w:rPr>
        <w:t>by</w:t>
      </w:r>
      <w:r>
        <w:rPr>
          <w:color w:val="231F20"/>
          <w:spacing w:val="15"/>
          <w:sz w:val="18"/>
        </w:rPr>
        <w:t> </w:t>
      </w:r>
      <w:r>
        <w:rPr>
          <w:color w:val="231F20"/>
          <w:sz w:val="18"/>
        </w:rPr>
        <w:t>a</w:t>
      </w:r>
      <w:r>
        <w:rPr>
          <w:color w:val="231F20"/>
          <w:spacing w:val="15"/>
          <w:sz w:val="18"/>
        </w:rPr>
        <w:t> </w:t>
      </w:r>
      <w:r>
        <w:rPr>
          <w:color w:val="231F20"/>
          <w:sz w:val="18"/>
        </w:rPr>
        <w:t>development</w:t>
      </w:r>
      <w:r>
        <w:rPr>
          <w:color w:val="231F20"/>
          <w:spacing w:val="15"/>
          <w:sz w:val="18"/>
        </w:rPr>
        <w:t> </w:t>
      </w:r>
      <w:r>
        <w:rPr>
          <w:color w:val="231F20"/>
          <w:sz w:val="18"/>
        </w:rPr>
        <w:t>through</w:t>
      </w:r>
    </w:p>
    <w:p>
      <w:pPr>
        <w:pStyle w:val="BodyText"/>
        <w:spacing w:before="34"/>
        <w:ind w:left="3770" w:right="3753"/>
        <w:jc w:val="center"/>
      </w:pPr>
      <w:r>
        <w:rPr>
          <w:color w:val="231F20"/>
        </w:rPr>
        <w:t>the imposition of appropriate bonds.</w:t>
      </w:r>
    </w:p>
    <w:p>
      <w:pPr>
        <w:pStyle w:val="ListParagraph"/>
        <w:numPr>
          <w:ilvl w:val="1"/>
          <w:numId w:val="4"/>
        </w:numPr>
        <w:tabs>
          <w:tab w:pos="4274" w:val="left" w:leader="none"/>
        </w:tabs>
        <w:spacing w:line="240" w:lineRule="auto" w:before="93" w:after="0"/>
        <w:ind w:left="4273" w:right="0" w:hanging="141"/>
        <w:jc w:val="left"/>
        <w:rPr>
          <w:sz w:val="18"/>
        </w:rPr>
      </w:pPr>
      <w:r>
        <w:rPr>
          <w:color w:val="231F20"/>
          <w:sz w:val="18"/>
        </w:rPr>
        <w:t>Council</w:t>
      </w:r>
      <w:r>
        <w:rPr>
          <w:color w:val="231F20"/>
          <w:spacing w:val="10"/>
          <w:sz w:val="18"/>
        </w:rPr>
        <w:t> </w:t>
      </w:r>
      <w:r>
        <w:rPr>
          <w:color w:val="231F20"/>
          <w:sz w:val="18"/>
        </w:rPr>
        <w:t>will</w:t>
      </w:r>
      <w:r>
        <w:rPr>
          <w:color w:val="231F20"/>
          <w:spacing w:val="10"/>
          <w:sz w:val="18"/>
        </w:rPr>
        <w:t> </w:t>
      </w:r>
      <w:r>
        <w:rPr>
          <w:color w:val="231F20"/>
          <w:sz w:val="18"/>
        </w:rPr>
        <w:t>not</w:t>
      </w:r>
      <w:r>
        <w:rPr>
          <w:color w:val="231F20"/>
          <w:spacing w:val="10"/>
          <w:sz w:val="18"/>
        </w:rPr>
        <w:t> </w:t>
      </w:r>
      <w:r>
        <w:rPr>
          <w:color w:val="231F20"/>
          <w:sz w:val="18"/>
        </w:rPr>
        <w:t>permit</w:t>
      </w:r>
      <w:r>
        <w:rPr>
          <w:color w:val="231F20"/>
          <w:spacing w:val="10"/>
          <w:sz w:val="18"/>
        </w:rPr>
        <w:t> </w:t>
      </w:r>
      <w:r>
        <w:rPr>
          <w:color w:val="231F20"/>
          <w:sz w:val="18"/>
        </w:rPr>
        <w:t>the</w:t>
      </w:r>
      <w:r>
        <w:rPr>
          <w:color w:val="231F20"/>
          <w:spacing w:val="10"/>
          <w:sz w:val="18"/>
        </w:rPr>
        <w:t> </w:t>
      </w:r>
      <w:r>
        <w:rPr>
          <w:color w:val="231F20"/>
          <w:sz w:val="18"/>
        </w:rPr>
        <w:t>removal</w:t>
      </w:r>
      <w:r>
        <w:rPr>
          <w:color w:val="231F20"/>
          <w:spacing w:val="10"/>
          <w:sz w:val="18"/>
        </w:rPr>
        <w:t> </w:t>
      </w:r>
      <w:r>
        <w:rPr>
          <w:color w:val="231F20"/>
          <w:sz w:val="18"/>
        </w:rPr>
        <w:t>of</w:t>
      </w:r>
      <w:r>
        <w:rPr>
          <w:color w:val="231F20"/>
          <w:spacing w:val="10"/>
          <w:sz w:val="18"/>
        </w:rPr>
        <w:t> </w:t>
      </w:r>
      <w:r>
        <w:rPr>
          <w:color w:val="231F20"/>
          <w:sz w:val="18"/>
        </w:rPr>
        <w:t>trees</w:t>
      </w:r>
      <w:r>
        <w:rPr>
          <w:color w:val="231F20"/>
          <w:spacing w:val="10"/>
          <w:sz w:val="18"/>
        </w:rPr>
        <w:t> </w:t>
      </w:r>
      <w:r>
        <w:rPr>
          <w:color w:val="231F20"/>
          <w:sz w:val="18"/>
        </w:rPr>
        <w:t>to</w:t>
      </w:r>
      <w:r>
        <w:rPr>
          <w:color w:val="231F20"/>
          <w:spacing w:val="10"/>
          <w:sz w:val="18"/>
        </w:rPr>
        <w:t> </w:t>
      </w:r>
      <w:r>
        <w:rPr>
          <w:color w:val="231F20"/>
          <w:sz w:val="18"/>
        </w:rPr>
        <w:t>allow</w:t>
      </w:r>
      <w:r>
        <w:rPr>
          <w:color w:val="231F20"/>
          <w:spacing w:val="10"/>
          <w:sz w:val="18"/>
        </w:rPr>
        <w:t> </w:t>
      </w:r>
      <w:r>
        <w:rPr>
          <w:color w:val="231F20"/>
          <w:sz w:val="18"/>
        </w:rPr>
        <w:t>for</w:t>
      </w:r>
      <w:r>
        <w:rPr>
          <w:color w:val="231F20"/>
          <w:spacing w:val="10"/>
          <w:sz w:val="18"/>
        </w:rPr>
        <w:t> </w:t>
      </w:r>
      <w:r>
        <w:rPr>
          <w:color w:val="231F20"/>
          <w:sz w:val="18"/>
        </w:rPr>
        <w:t>the</w:t>
      </w:r>
      <w:r>
        <w:rPr>
          <w:color w:val="231F20"/>
          <w:spacing w:val="10"/>
          <w:sz w:val="18"/>
        </w:rPr>
        <w:t> </w:t>
      </w:r>
      <w:r>
        <w:rPr>
          <w:color w:val="231F20"/>
          <w:sz w:val="18"/>
        </w:rPr>
        <w:t>provision</w:t>
      </w:r>
      <w:r>
        <w:rPr>
          <w:color w:val="231F20"/>
          <w:spacing w:val="10"/>
          <w:sz w:val="18"/>
        </w:rPr>
        <w:t> </w:t>
      </w:r>
      <w:r>
        <w:rPr>
          <w:color w:val="231F20"/>
          <w:sz w:val="18"/>
        </w:rPr>
        <w:t>of</w:t>
      </w:r>
      <w:r>
        <w:rPr>
          <w:color w:val="231F20"/>
          <w:spacing w:val="10"/>
          <w:sz w:val="18"/>
        </w:rPr>
        <w:t> </w:t>
      </w:r>
      <w:r>
        <w:rPr>
          <w:color w:val="231F20"/>
          <w:spacing w:val="1"/>
          <w:sz w:val="18"/>
        </w:rPr>
        <w:t>construction</w:t>
      </w:r>
    </w:p>
    <w:p>
      <w:pPr>
        <w:pStyle w:val="BodyText"/>
        <w:spacing w:before="94"/>
        <w:ind w:left="2145" w:right="3875"/>
        <w:jc w:val="center"/>
      </w:pPr>
      <w:r>
        <w:rPr>
          <w:color w:val="231F20"/>
        </w:rPr>
        <w:t>hoardings.</w:t>
      </w:r>
    </w:p>
    <w:p>
      <w:pPr>
        <w:pStyle w:val="BodyText"/>
        <w:rPr>
          <w:sz w:val="20"/>
        </w:rPr>
      </w:pPr>
    </w:p>
    <w:p>
      <w:pPr>
        <w:pStyle w:val="BodyText"/>
        <w:spacing w:before="3"/>
        <w:rPr>
          <w:sz w:val="28"/>
        </w:rPr>
      </w:pPr>
    </w:p>
    <w:p>
      <w:pPr>
        <w:pStyle w:val="Heading3"/>
        <w:numPr>
          <w:ilvl w:val="0"/>
          <w:numId w:val="4"/>
        </w:numPr>
        <w:tabs>
          <w:tab w:pos="3987" w:val="left" w:leader="none"/>
        </w:tabs>
        <w:spacing w:line="240" w:lineRule="auto" w:before="1" w:after="0"/>
        <w:ind w:left="3986" w:right="0" w:hanging="195"/>
        <w:jc w:val="left"/>
      </w:pPr>
      <w:r>
        <w:rPr>
          <w:color w:val="231F20"/>
          <w:spacing w:val="1"/>
        </w:rPr>
        <w:t>Urban Forest Asset</w:t>
      </w:r>
      <w:r>
        <w:rPr>
          <w:color w:val="231F20"/>
          <w:spacing w:val="15"/>
        </w:rPr>
        <w:t> </w:t>
      </w:r>
      <w:r>
        <w:rPr>
          <w:color w:val="231F20"/>
        </w:rPr>
        <w:t>Management</w:t>
      </w:r>
    </w:p>
    <w:p>
      <w:pPr>
        <w:pStyle w:val="ListParagraph"/>
        <w:numPr>
          <w:ilvl w:val="1"/>
          <w:numId w:val="4"/>
        </w:numPr>
        <w:tabs>
          <w:tab w:pos="4274" w:val="left" w:leader="none"/>
        </w:tabs>
        <w:spacing w:line="240" w:lineRule="auto" w:before="89" w:after="0"/>
        <w:ind w:left="4273" w:right="0" w:hanging="141"/>
        <w:jc w:val="left"/>
        <w:rPr>
          <w:sz w:val="18"/>
        </w:rPr>
      </w:pPr>
      <w:r>
        <w:rPr>
          <w:color w:val="231F20"/>
          <w:sz w:val="18"/>
        </w:rPr>
        <w:t>Council</w:t>
      </w:r>
      <w:r>
        <w:rPr>
          <w:color w:val="231F20"/>
          <w:spacing w:val="8"/>
          <w:sz w:val="18"/>
        </w:rPr>
        <w:t> </w:t>
      </w:r>
      <w:r>
        <w:rPr>
          <w:color w:val="231F20"/>
          <w:sz w:val="18"/>
        </w:rPr>
        <w:t>will</w:t>
      </w:r>
      <w:r>
        <w:rPr>
          <w:color w:val="231F20"/>
          <w:spacing w:val="8"/>
          <w:sz w:val="18"/>
        </w:rPr>
        <w:t> </w:t>
      </w:r>
      <w:r>
        <w:rPr>
          <w:color w:val="231F20"/>
          <w:sz w:val="18"/>
        </w:rPr>
        <w:t>Identify</w:t>
      </w:r>
      <w:r>
        <w:rPr>
          <w:color w:val="231F20"/>
          <w:spacing w:val="8"/>
          <w:sz w:val="18"/>
        </w:rPr>
        <w:t> </w:t>
      </w:r>
      <w:r>
        <w:rPr>
          <w:color w:val="231F20"/>
          <w:sz w:val="18"/>
        </w:rPr>
        <w:t>and</w:t>
      </w:r>
      <w:r>
        <w:rPr>
          <w:color w:val="231F20"/>
          <w:spacing w:val="8"/>
          <w:sz w:val="18"/>
        </w:rPr>
        <w:t> </w:t>
      </w:r>
      <w:r>
        <w:rPr>
          <w:color w:val="231F20"/>
          <w:sz w:val="18"/>
        </w:rPr>
        <w:t>evaluate</w:t>
      </w:r>
      <w:r>
        <w:rPr>
          <w:color w:val="231F20"/>
          <w:spacing w:val="8"/>
          <w:sz w:val="18"/>
        </w:rPr>
        <w:t> </w:t>
      </w:r>
      <w:r>
        <w:rPr>
          <w:color w:val="231F20"/>
          <w:sz w:val="18"/>
        </w:rPr>
        <w:t>Marrickville’s</w:t>
      </w:r>
      <w:r>
        <w:rPr>
          <w:color w:val="231F20"/>
          <w:spacing w:val="8"/>
          <w:sz w:val="18"/>
        </w:rPr>
        <w:t> </w:t>
      </w:r>
      <w:r>
        <w:rPr>
          <w:color w:val="231F20"/>
          <w:sz w:val="18"/>
        </w:rPr>
        <w:t>urban</w:t>
      </w:r>
      <w:r>
        <w:rPr>
          <w:color w:val="231F20"/>
          <w:spacing w:val="8"/>
          <w:sz w:val="18"/>
        </w:rPr>
        <w:t> </w:t>
      </w:r>
      <w:r>
        <w:rPr>
          <w:color w:val="231F20"/>
          <w:sz w:val="18"/>
        </w:rPr>
        <w:t>forest.</w:t>
      </w:r>
    </w:p>
    <w:p>
      <w:pPr>
        <w:pStyle w:val="ListParagraph"/>
        <w:numPr>
          <w:ilvl w:val="1"/>
          <w:numId w:val="4"/>
        </w:numPr>
        <w:tabs>
          <w:tab w:pos="4274" w:val="left" w:leader="none"/>
        </w:tabs>
        <w:spacing w:line="240" w:lineRule="auto" w:before="93" w:after="0"/>
        <w:ind w:left="4273" w:right="0" w:hanging="141"/>
        <w:jc w:val="left"/>
        <w:rPr>
          <w:sz w:val="18"/>
        </w:rPr>
      </w:pPr>
      <w:r>
        <w:rPr>
          <w:color w:val="231F20"/>
          <w:sz w:val="18"/>
        </w:rPr>
        <w:t>Council</w:t>
      </w:r>
      <w:r>
        <w:rPr>
          <w:color w:val="231F20"/>
          <w:spacing w:val="8"/>
          <w:sz w:val="18"/>
        </w:rPr>
        <w:t> </w:t>
      </w:r>
      <w:r>
        <w:rPr>
          <w:color w:val="231F20"/>
          <w:sz w:val="18"/>
        </w:rPr>
        <w:t>acknowledges</w:t>
      </w:r>
      <w:r>
        <w:rPr>
          <w:color w:val="231F20"/>
          <w:spacing w:val="8"/>
          <w:sz w:val="18"/>
        </w:rPr>
        <w:t> </w:t>
      </w:r>
      <w:r>
        <w:rPr>
          <w:color w:val="231F20"/>
          <w:sz w:val="18"/>
        </w:rPr>
        <w:t>trees</w:t>
      </w:r>
      <w:r>
        <w:rPr>
          <w:color w:val="231F20"/>
          <w:spacing w:val="8"/>
          <w:sz w:val="18"/>
        </w:rPr>
        <w:t> </w:t>
      </w:r>
      <w:r>
        <w:rPr>
          <w:color w:val="231F20"/>
          <w:sz w:val="18"/>
        </w:rPr>
        <w:t>on</w:t>
      </w:r>
      <w:r>
        <w:rPr>
          <w:color w:val="231F20"/>
          <w:spacing w:val="8"/>
          <w:sz w:val="18"/>
        </w:rPr>
        <w:t> </w:t>
      </w:r>
      <w:r>
        <w:rPr>
          <w:color w:val="231F20"/>
          <w:sz w:val="18"/>
        </w:rPr>
        <w:t>public</w:t>
      </w:r>
      <w:r>
        <w:rPr>
          <w:color w:val="231F20"/>
          <w:spacing w:val="8"/>
          <w:sz w:val="18"/>
        </w:rPr>
        <w:t> </w:t>
      </w:r>
      <w:r>
        <w:rPr>
          <w:color w:val="231F20"/>
          <w:sz w:val="18"/>
        </w:rPr>
        <w:t>land</w:t>
      </w:r>
      <w:r>
        <w:rPr>
          <w:color w:val="231F20"/>
          <w:spacing w:val="8"/>
          <w:sz w:val="18"/>
        </w:rPr>
        <w:t> </w:t>
      </w:r>
      <w:r>
        <w:rPr>
          <w:color w:val="231F20"/>
          <w:sz w:val="18"/>
        </w:rPr>
        <w:t>as</w:t>
      </w:r>
      <w:r>
        <w:rPr>
          <w:color w:val="231F20"/>
          <w:spacing w:val="8"/>
          <w:sz w:val="18"/>
        </w:rPr>
        <w:t> </w:t>
      </w:r>
      <w:r>
        <w:rPr>
          <w:color w:val="231F20"/>
          <w:sz w:val="18"/>
        </w:rPr>
        <w:t>infrastructure</w:t>
      </w:r>
      <w:r>
        <w:rPr>
          <w:color w:val="231F20"/>
          <w:spacing w:val="8"/>
          <w:sz w:val="18"/>
        </w:rPr>
        <w:t> </w:t>
      </w:r>
      <w:r>
        <w:rPr>
          <w:color w:val="231F20"/>
          <w:sz w:val="18"/>
        </w:rPr>
        <w:t>assets.</w:t>
      </w:r>
    </w:p>
    <w:p>
      <w:pPr>
        <w:pStyle w:val="ListParagraph"/>
        <w:numPr>
          <w:ilvl w:val="1"/>
          <w:numId w:val="4"/>
        </w:numPr>
        <w:tabs>
          <w:tab w:pos="4274" w:val="left" w:leader="none"/>
        </w:tabs>
        <w:spacing w:line="240" w:lineRule="auto" w:before="94" w:after="0"/>
        <w:ind w:left="4273" w:right="0" w:hanging="141"/>
        <w:jc w:val="left"/>
        <w:rPr>
          <w:sz w:val="18"/>
        </w:rPr>
      </w:pPr>
      <w:r>
        <w:rPr>
          <w:color w:val="231F20"/>
          <w:sz w:val="18"/>
        </w:rPr>
        <w:t>Council</w:t>
      </w:r>
      <w:r>
        <w:rPr>
          <w:color w:val="231F20"/>
          <w:spacing w:val="13"/>
          <w:sz w:val="18"/>
        </w:rPr>
        <w:t> </w:t>
      </w:r>
      <w:r>
        <w:rPr>
          <w:color w:val="231F20"/>
          <w:sz w:val="18"/>
        </w:rPr>
        <w:t>will</w:t>
      </w:r>
      <w:r>
        <w:rPr>
          <w:color w:val="231F20"/>
          <w:spacing w:val="13"/>
          <w:sz w:val="18"/>
        </w:rPr>
        <w:t> </w:t>
      </w:r>
      <w:r>
        <w:rPr>
          <w:color w:val="231F20"/>
          <w:sz w:val="18"/>
        </w:rPr>
        <w:t>complete</w:t>
      </w:r>
      <w:r>
        <w:rPr>
          <w:color w:val="231F20"/>
          <w:spacing w:val="13"/>
          <w:sz w:val="18"/>
        </w:rPr>
        <w:t> </w:t>
      </w:r>
      <w:r>
        <w:rPr>
          <w:color w:val="231F20"/>
          <w:sz w:val="18"/>
        </w:rPr>
        <w:t>and</w:t>
      </w:r>
      <w:r>
        <w:rPr>
          <w:color w:val="231F20"/>
          <w:spacing w:val="13"/>
          <w:sz w:val="18"/>
        </w:rPr>
        <w:t> </w:t>
      </w:r>
      <w:r>
        <w:rPr>
          <w:color w:val="231F20"/>
          <w:sz w:val="18"/>
        </w:rPr>
        <w:t>maintain</w:t>
      </w:r>
      <w:r>
        <w:rPr>
          <w:color w:val="231F20"/>
          <w:spacing w:val="13"/>
          <w:sz w:val="18"/>
        </w:rPr>
        <w:t> </w:t>
      </w:r>
      <w:r>
        <w:rPr>
          <w:color w:val="231F20"/>
          <w:sz w:val="18"/>
        </w:rPr>
        <w:t>an</w:t>
      </w:r>
      <w:r>
        <w:rPr>
          <w:color w:val="231F20"/>
          <w:spacing w:val="13"/>
          <w:sz w:val="18"/>
        </w:rPr>
        <w:t> </w:t>
      </w:r>
      <w:r>
        <w:rPr>
          <w:color w:val="231F20"/>
          <w:sz w:val="18"/>
        </w:rPr>
        <w:t>inventory</w:t>
      </w:r>
      <w:r>
        <w:rPr>
          <w:color w:val="231F20"/>
          <w:spacing w:val="13"/>
          <w:sz w:val="18"/>
        </w:rPr>
        <w:t> </w:t>
      </w:r>
      <w:r>
        <w:rPr>
          <w:color w:val="231F20"/>
          <w:sz w:val="18"/>
        </w:rPr>
        <w:t>of</w:t>
      </w:r>
      <w:r>
        <w:rPr>
          <w:color w:val="231F20"/>
          <w:spacing w:val="13"/>
          <w:sz w:val="18"/>
        </w:rPr>
        <w:t> </w:t>
      </w:r>
      <w:r>
        <w:rPr>
          <w:color w:val="231F20"/>
          <w:sz w:val="18"/>
        </w:rPr>
        <w:t>its</w:t>
      </w:r>
      <w:r>
        <w:rPr>
          <w:color w:val="231F20"/>
          <w:spacing w:val="13"/>
          <w:sz w:val="18"/>
        </w:rPr>
        <w:t> </w:t>
      </w:r>
      <w:r>
        <w:rPr>
          <w:color w:val="231F20"/>
          <w:sz w:val="18"/>
        </w:rPr>
        <w:t>public</w:t>
      </w:r>
      <w:r>
        <w:rPr>
          <w:color w:val="231F20"/>
          <w:spacing w:val="13"/>
          <w:sz w:val="18"/>
        </w:rPr>
        <w:t> </w:t>
      </w:r>
      <w:r>
        <w:rPr>
          <w:color w:val="231F20"/>
          <w:sz w:val="18"/>
        </w:rPr>
        <w:t>tree</w:t>
      </w:r>
      <w:r>
        <w:rPr>
          <w:color w:val="231F20"/>
          <w:spacing w:val="13"/>
          <w:sz w:val="18"/>
        </w:rPr>
        <w:t> </w:t>
      </w:r>
      <w:r>
        <w:rPr>
          <w:color w:val="231F20"/>
          <w:sz w:val="18"/>
        </w:rPr>
        <w:t>assets</w:t>
      </w:r>
      <w:r>
        <w:rPr>
          <w:color w:val="231F20"/>
          <w:spacing w:val="13"/>
          <w:sz w:val="18"/>
        </w:rPr>
        <w:t> </w:t>
      </w:r>
      <w:r>
        <w:rPr>
          <w:color w:val="231F20"/>
          <w:sz w:val="18"/>
        </w:rPr>
        <w:t>consistent</w:t>
      </w:r>
      <w:r>
        <w:rPr>
          <w:color w:val="231F20"/>
          <w:spacing w:val="13"/>
          <w:sz w:val="18"/>
        </w:rPr>
        <w:t> </w:t>
      </w:r>
      <w:r>
        <w:rPr>
          <w:color w:val="231F20"/>
          <w:sz w:val="18"/>
        </w:rPr>
        <w:t>with</w:t>
      </w:r>
      <w:r>
        <w:rPr>
          <w:color w:val="231F20"/>
          <w:spacing w:val="13"/>
          <w:sz w:val="18"/>
        </w:rPr>
        <w:t> </w:t>
      </w:r>
      <w:r>
        <w:rPr>
          <w:color w:val="231F20"/>
          <w:spacing w:val="1"/>
          <w:sz w:val="18"/>
        </w:rPr>
        <w:t>its</w:t>
      </w:r>
    </w:p>
    <w:p>
      <w:pPr>
        <w:pStyle w:val="BodyText"/>
        <w:spacing w:before="33"/>
        <w:ind w:left="3239" w:right="3875"/>
        <w:jc w:val="center"/>
      </w:pPr>
      <w:r>
        <w:rPr>
          <w:color w:val="231F20"/>
        </w:rPr>
        <w:t>Asset Management Policy.</w:t>
      </w:r>
    </w:p>
    <w:p>
      <w:pPr>
        <w:pStyle w:val="ListParagraph"/>
        <w:numPr>
          <w:ilvl w:val="1"/>
          <w:numId w:val="4"/>
        </w:numPr>
        <w:tabs>
          <w:tab w:pos="4274" w:val="left" w:leader="none"/>
        </w:tabs>
        <w:spacing w:line="240" w:lineRule="auto" w:before="94" w:after="0"/>
        <w:ind w:left="4273" w:right="0" w:hanging="141"/>
        <w:jc w:val="left"/>
        <w:rPr>
          <w:sz w:val="18"/>
        </w:rPr>
      </w:pPr>
      <w:r>
        <w:rPr>
          <w:color w:val="231F20"/>
          <w:sz w:val="18"/>
        </w:rPr>
        <w:t>Council</w:t>
      </w:r>
      <w:r>
        <w:rPr>
          <w:color w:val="231F20"/>
          <w:spacing w:val="10"/>
          <w:sz w:val="18"/>
        </w:rPr>
        <w:t> </w:t>
      </w:r>
      <w:r>
        <w:rPr>
          <w:color w:val="231F20"/>
          <w:sz w:val="18"/>
        </w:rPr>
        <w:t>will</w:t>
      </w:r>
      <w:r>
        <w:rPr>
          <w:color w:val="231F20"/>
          <w:spacing w:val="10"/>
          <w:sz w:val="18"/>
        </w:rPr>
        <w:t> </w:t>
      </w:r>
      <w:r>
        <w:rPr>
          <w:color w:val="231F20"/>
          <w:sz w:val="18"/>
        </w:rPr>
        <w:t>ensure</w:t>
      </w:r>
      <w:r>
        <w:rPr>
          <w:color w:val="231F20"/>
          <w:spacing w:val="10"/>
          <w:sz w:val="18"/>
        </w:rPr>
        <w:t> </w:t>
      </w:r>
      <w:r>
        <w:rPr>
          <w:color w:val="231F20"/>
          <w:sz w:val="18"/>
        </w:rPr>
        <w:t>best</w:t>
      </w:r>
      <w:r>
        <w:rPr>
          <w:color w:val="231F20"/>
          <w:spacing w:val="10"/>
          <w:sz w:val="18"/>
        </w:rPr>
        <w:t> </w:t>
      </w:r>
      <w:r>
        <w:rPr>
          <w:color w:val="231F20"/>
          <w:sz w:val="18"/>
        </w:rPr>
        <w:t>practice</w:t>
      </w:r>
      <w:r>
        <w:rPr>
          <w:color w:val="231F20"/>
          <w:spacing w:val="10"/>
          <w:sz w:val="18"/>
        </w:rPr>
        <w:t> </w:t>
      </w:r>
      <w:r>
        <w:rPr>
          <w:color w:val="231F20"/>
          <w:sz w:val="18"/>
        </w:rPr>
        <w:t>management</w:t>
      </w:r>
      <w:r>
        <w:rPr>
          <w:color w:val="231F20"/>
          <w:spacing w:val="10"/>
          <w:sz w:val="18"/>
        </w:rPr>
        <w:t> </w:t>
      </w:r>
      <w:r>
        <w:rPr>
          <w:color w:val="231F20"/>
          <w:sz w:val="18"/>
        </w:rPr>
        <w:t>of</w:t>
      </w:r>
      <w:r>
        <w:rPr>
          <w:color w:val="231F20"/>
          <w:spacing w:val="10"/>
          <w:sz w:val="18"/>
        </w:rPr>
        <w:t> </w:t>
      </w:r>
      <w:r>
        <w:rPr>
          <w:color w:val="231F20"/>
          <w:sz w:val="18"/>
        </w:rPr>
        <w:t>its</w:t>
      </w:r>
      <w:r>
        <w:rPr>
          <w:color w:val="231F20"/>
          <w:spacing w:val="10"/>
          <w:sz w:val="18"/>
        </w:rPr>
        <w:t> </w:t>
      </w:r>
      <w:r>
        <w:rPr>
          <w:color w:val="231F20"/>
          <w:sz w:val="18"/>
        </w:rPr>
        <w:t>urban</w:t>
      </w:r>
      <w:r>
        <w:rPr>
          <w:color w:val="231F20"/>
          <w:spacing w:val="10"/>
          <w:sz w:val="18"/>
        </w:rPr>
        <w:t> </w:t>
      </w:r>
      <w:r>
        <w:rPr>
          <w:color w:val="231F20"/>
          <w:sz w:val="18"/>
        </w:rPr>
        <w:t>forest</w:t>
      </w:r>
      <w:r>
        <w:rPr>
          <w:color w:val="231F20"/>
          <w:spacing w:val="10"/>
          <w:sz w:val="18"/>
        </w:rPr>
        <w:t> </w:t>
      </w:r>
      <w:r>
        <w:rPr>
          <w:color w:val="231F20"/>
          <w:sz w:val="18"/>
        </w:rPr>
        <w:t>assets.</w:t>
      </w:r>
    </w:p>
    <w:p>
      <w:pPr>
        <w:pStyle w:val="ListParagraph"/>
        <w:numPr>
          <w:ilvl w:val="1"/>
          <w:numId w:val="4"/>
        </w:numPr>
        <w:tabs>
          <w:tab w:pos="4274" w:val="left" w:leader="none"/>
        </w:tabs>
        <w:spacing w:line="240" w:lineRule="auto" w:before="93" w:after="0"/>
        <w:ind w:left="4273" w:right="0" w:hanging="141"/>
        <w:jc w:val="left"/>
        <w:rPr>
          <w:sz w:val="18"/>
        </w:rPr>
      </w:pPr>
      <w:r>
        <w:rPr>
          <w:color w:val="231F20"/>
          <w:sz w:val="18"/>
        </w:rPr>
        <w:t>Council</w:t>
      </w:r>
      <w:r>
        <w:rPr>
          <w:color w:val="231F20"/>
          <w:spacing w:val="15"/>
          <w:sz w:val="18"/>
        </w:rPr>
        <w:t> </w:t>
      </w:r>
      <w:r>
        <w:rPr>
          <w:color w:val="231F20"/>
          <w:sz w:val="18"/>
        </w:rPr>
        <w:t>will</w:t>
      </w:r>
      <w:r>
        <w:rPr>
          <w:color w:val="231F20"/>
          <w:spacing w:val="15"/>
          <w:sz w:val="18"/>
        </w:rPr>
        <w:t> </w:t>
      </w:r>
      <w:r>
        <w:rPr>
          <w:color w:val="231F20"/>
          <w:sz w:val="18"/>
        </w:rPr>
        <w:t>proactively</w:t>
      </w:r>
      <w:r>
        <w:rPr>
          <w:color w:val="231F20"/>
          <w:spacing w:val="15"/>
          <w:sz w:val="18"/>
        </w:rPr>
        <w:t> </w:t>
      </w:r>
      <w:r>
        <w:rPr>
          <w:color w:val="231F20"/>
          <w:sz w:val="18"/>
        </w:rPr>
        <w:t>manage</w:t>
      </w:r>
      <w:r>
        <w:rPr>
          <w:color w:val="231F20"/>
          <w:spacing w:val="15"/>
          <w:sz w:val="18"/>
        </w:rPr>
        <w:t> </w:t>
      </w:r>
      <w:r>
        <w:rPr>
          <w:color w:val="231F20"/>
          <w:sz w:val="18"/>
        </w:rPr>
        <w:t>tree</w:t>
      </w:r>
      <w:r>
        <w:rPr>
          <w:color w:val="231F20"/>
          <w:spacing w:val="15"/>
          <w:sz w:val="18"/>
        </w:rPr>
        <w:t> </w:t>
      </w:r>
      <w:r>
        <w:rPr>
          <w:color w:val="231F20"/>
          <w:sz w:val="18"/>
        </w:rPr>
        <w:t>risk</w:t>
      </w:r>
      <w:r>
        <w:rPr>
          <w:color w:val="231F20"/>
          <w:spacing w:val="15"/>
          <w:sz w:val="18"/>
        </w:rPr>
        <w:t> </w:t>
      </w:r>
      <w:r>
        <w:rPr>
          <w:color w:val="231F20"/>
          <w:sz w:val="18"/>
        </w:rPr>
        <w:t>management</w:t>
      </w:r>
      <w:r>
        <w:rPr>
          <w:color w:val="231F20"/>
          <w:spacing w:val="15"/>
          <w:sz w:val="18"/>
        </w:rPr>
        <w:t> </w:t>
      </w:r>
      <w:r>
        <w:rPr>
          <w:color w:val="231F20"/>
          <w:sz w:val="18"/>
        </w:rPr>
        <w:t>issues</w:t>
      </w:r>
      <w:r>
        <w:rPr>
          <w:color w:val="231F20"/>
          <w:spacing w:val="15"/>
          <w:sz w:val="18"/>
        </w:rPr>
        <w:t> </w:t>
      </w:r>
      <w:r>
        <w:rPr>
          <w:color w:val="231F20"/>
          <w:sz w:val="18"/>
        </w:rPr>
        <w:t>by</w:t>
      </w:r>
      <w:r>
        <w:rPr>
          <w:color w:val="231F20"/>
          <w:spacing w:val="15"/>
          <w:sz w:val="18"/>
        </w:rPr>
        <w:t> </w:t>
      </w:r>
      <w:r>
        <w:rPr>
          <w:color w:val="231F20"/>
          <w:sz w:val="18"/>
        </w:rPr>
        <w:t>establishing</w:t>
      </w:r>
      <w:r>
        <w:rPr>
          <w:color w:val="231F20"/>
          <w:spacing w:val="15"/>
          <w:sz w:val="18"/>
        </w:rPr>
        <w:t> </w:t>
      </w:r>
      <w:r>
        <w:rPr>
          <w:color w:val="231F20"/>
          <w:sz w:val="18"/>
        </w:rPr>
        <w:t>and</w:t>
      </w:r>
      <w:r>
        <w:rPr>
          <w:color w:val="231F20"/>
          <w:spacing w:val="15"/>
          <w:sz w:val="18"/>
        </w:rPr>
        <w:t> </w:t>
      </w:r>
      <w:r>
        <w:rPr>
          <w:color w:val="231F20"/>
          <w:sz w:val="18"/>
        </w:rPr>
        <w:t>following</w:t>
      </w:r>
    </w:p>
    <w:p>
      <w:pPr>
        <w:pStyle w:val="BodyText"/>
        <w:spacing w:before="93"/>
        <w:ind w:left="4273"/>
      </w:pPr>
      <w:r>
        <w:rPr>
          <w:color w:val="231F20"/>
        </w:rPr>
        <w:t>guidelines and procedures relating to insurance claims on Council owned trees.</w:t>
      </w:r>
    </w:p>
    <w:p>
      <w:pPr>
        <w:pStyle w:val="BodyText"/>
        <w:rPr>
          <w:sz w:val="20"/>
        </w:rPr>
      </w:pPr>
    </w:p>
    <w:p>
      <w:pPr>
        <w:pStyle w:val="BodyText"/>
        <w:spacing w:before="10"/>
        <w:rPr>
          <w:sz w:val="17"/>
        </w:rPr>
      </w:pPr>
    </w:p>
    <w:p>
      <w:pPr>
        <w:pStyle w:val="Heading3"/>
        <w:numPr>
          <w:ilvl w:val="0"/>
          <w:numId w:val="4"/>
        </w:numPr>
        <w:tabs>
          <w:tab w:pos="3987" w:val="left" w:leader="none"/>
        </w:tabs>
        <w:spacing w:line="240" w:lineRule="auto" w:before="1" w:after="0"/>
        <w:ind w:left="3986" w:right="0" w:hanging="195"/>
        <w:jc w:val="left"/>
      </w:pPr>
      <w:r>
        <w:rPr>
          <w:color w:val="231F20"/>
          <w:spacing w:val="1"/>
        </w:rPr>
        <w:t>Urban  Forest</w:t>
      </w:r>
      <w:r>
        <w:rPr>
          <w:color w:val="231F20"/>
          <w:spacing w:val="-14"/>
        </w:rPr>
        <w:t> </w:t>
      </w:r>
      <w:r>
        <w:rPr>
          <w:color w:val="231F20"/>
          <w:spacing w:val="2"/>
        </w:rPr>
        <w:t>Canopy</w:t>
      </w:r>
    </w:p>
    <w:p>
      <w:pPr>
        <w:pStyle w:val="ListParagraph"/>
        <w:numPr>
          <w:ilvl w:val="1"/>
          <w:numId w:val="4"/>
        </w:numPr>
        <w:tabs>
          <w:tab w:pos="4274" w:val="left" w:leader="none"/>
        </w:tabs>
        <w:spacing w:line="278" w:lineRule="auto" w:before="89" w:after="0"/>
        <w:ind w:left="4273" w:right="542" w:hanging="141"/>
        <w:jc w:val="left"/>
        <w:rPr>
          <w:sz w:val="18"/>
        </w:rPr>
      </w:pPr>
      <w:r>
        <w:rPr>
          <w:color w:val="231F20"/>
          <w:sz w:val="18"/>
        </w:rPr>
        <w:t>Council will sustain, replenish and aim to increase urban forest canopy cover in  </w:t>
      </w:r>
      <w:r>
        <w:rPr>
          <w:color w:val="231F20"/>
          <w:spacing w:val="1"/>
          <w:sz w:val="18"/>
        </w:rPr>
        <w:t>the </w:t>
      </w:r>
      <w:r>
        <w:rPr>
          <w:color w:val="231F20"/>
          <w:sz w:val="18"/>
        </w:rPr>
        <w:t>Marrickville LGA through cyclic annual public tree removal and replacement programmes, capital funding programmes to increase public tree canopy cover and effective planning controls over private</w:t>
      </w:r>
      <w:r>
        <w:rPr>
          <w:color w:val="231F20"/>
          <w:spacing w:val="21"/>
          <w:sz w:val="18"/>
        </w:rPr>
        <w:t> </w:t>
      </w:r>
      <w:r>
        <w:rPr>
          <w:color w:val="231F20"/>
          <w:sz w:val="18"/>
        </w:rPr>
        <w:t>land.</w:t>
      </w:r>
    </w:p>
    <w:p>
      <w:pPr>
        <w:pStyle w:val="ListParagraph"/>
        <w:numPr>
          <w:ilvl w:val="1"/>
          <w:numId w:val="4"/>
        </w:numPr>
        <w:tabs>
          <w:tab w:pos="4274" w:val="left" w:leader="none"/>
        </w:tabs>
        <w:spacing w:line="278" w:lineRule="auto" w:before="62" w:after="0"/>
        <w:ind w:left="4273" w:right="572" w:hanging="141"/>
        <w:jc w:val="left"/>
        <w:rPr>
          <w:sz w:val="18"/>
        </w:rPr>
      </w:pPr>
      <w:r>
        <w:rPr>
          <w:color w:val="231F20"/>
          <w:sz w:val="18"/>
        </w:rPr>
        <w:t>Council will increase the diversity of suitable tree species  planted  to  include  locally endemic, indigenous and exotic species. However the overriding principal will be that tree species</w:t>
      </w:r>
      <w:r>
        <w:rPr>
          <w:color w:val="231F20"/>
          <w:spacing w:val="13"/>
          <w:sz w:val="18"/>
        </w:rPr>
        <w:t> </w:t>
      </w:r>
      <w:r>
        <w:rPr>
          <w:color w:val="231F20"/>
          <w:sz w:val="18"/>
        </w:rPr>
        <w:t>are</w:t>
      </w:r>
      <w:r>
        <w:rPr>
          <w:color w:val="231F20"/>
          <w:spacing w:val="13"/>
          <w:sz w:val="18"/>
        </w:rPr>
        <w:t> </w:t>
      </w:r>
      <w:r>
        <w:rPr>
          <w:color w:val="231F20"/>
          <w:sz w:val="18"/>
        </w:rPr>
        <w:t>selected</w:t>
      </w:r>
      <w:r>
        <w:rPr>
          <w:color w:val="231F20"/>
          <w:spacing w:val="13"/>
          <w:sz w:val="18"/>
        </w:rPr>
        <w:t> </w:t>
      </w:r>
      <w:r>
        <w:rPr>
          <w:color w:val="231F20"/>
          <w:sz w:val="18"/>
        </w:rPr>
        <w:t>according</w:t>
      </w:r>
      <w:r>
        <w:rPr>
          <w:color w:val="231F20"/>
          <w:spacing w:val="13"/>
          <w:sz w:val="18"/>
        </w:rPr>
        <w:t> </w:t>
      </w:r>
      <w:r>
        <w:rPr>
          <w:color w:val="231F20"/>
          <w:sz w:val="18"/>
        </w:rPr>
        <w:t>to</w:t>
      </w:r>
      <w:r>
        <w:rPr>
          <w:color w:val="231F20"/>
          <w:spacing w:val="13"/>
          <w:sz w:val="18"/>
        </w:rPr>
        <w:t> </w:t>
      </w:r>
      <w:r>
        <w:rPr>
          <w:color w:val="231F20"/>
          <w:sz w:val="18"/>
        </w:rPr>
        <w:t>their</w:t>
      </w:r>
      <w:r>
        <w:rPr>
          <w:color w:val="231F20"/>
          <w:spacing w:val="13"/>
          <w:sz w:val="18"/>
        </w:rPr>
        <w:t> </w:t>
      </w:r>
      <w:r>
        <w:rPr>
          <w:color w:val="231F20"/>
          <w:sz w:val="18"/>
        </w:rPr>
        <w:t>overall</w:t>
      </w:r>
      <w:r>
        <w:rPr>
          <w:color w:val="231F20"/>
          <w:spacing w:val="13"/>
          <w:sz w:val="18"/>
        </w:rPr>
        <w:t> </w:t>
      </w:r>
      <w:r>
        <w:rPr>
          <w:color w:val="231F20"/>
          <w:sz w:val="18"/>
        </w:rPr>
        <w:t>suitability</w:t>
      </w:r>
      <w:r>
        <w:rPr>
          <w:color w:val="231F20"/>
          <w:spacing w:val="13"/>
          <w:sz w:val="18"/>
        </w:rPr>
        <w:t> </w:t>
      </w:r>
      <w:r>
        <w:rPr>
          <w:color w:val="231F20"/>
          <w:sz w:val="18"/>
        </w:rPr>
        <w:t>for</w:t>
      </w:r>
      <w:r>
        <w:rPr>
          <w:color w:val="231F20"/>
          <w:spacing w:val="13"/>
          <w:sz w:val="18"/>
        </w:rPr>
        <w:t> </w:t>
      </w:r>
      <w:r>
        <w:rPr>
          <w:color w:val="231F20"/>
          <w:sz w:val="18"/>
        </w:rPr>
        <w:t>chosen</w:t>
      </w:r>
      <w:r>
        <w:rPr>
          <w:color w:val="231F20"/>
          <w:spacing w:val="13"/>
          <w:sz w:val="18"/>
        </w:rPr>
        <w:t> </w:t>
      </w:r>
      <w:r>
        <w:rPr>
          <w:color w:val="231F20"/>
          <w:sz w:val="18"/>
        </w:rPr>
        <w:t>planting</w:t>
      </w:r>
      <w:r>
        <w:rPr>
          <w:color w:val="231F20"/>
          <w:spacing w:val="13"/>
          <w:sz w:val="18"/>
        </w:rPr>
        <w:t> </w:t>
      </w:r>
      <w:r>
        <w:rPr>
          <w:color w:val="231F20"/>
          <w:spacing w:val="1"/>
          <w:sz w:val="18"/>
        </w:rPr>
        <w:t>sites.</w:t>
      </w:r>
    </w:p>
    <w:p>
      <w:pPr>
        <w:pStyle w:val="ListParagraph"/>
        <w:numPr>
          <w:ilvl w:val="1"/>
          <w:numId w:val="4"/>
        </w:numPr>
        <w:tabs>
          <w:tab w:pos="4274" w:val="left" w:leader="none"/>
        </w:tabs>
        <w:spacing w:line="240" w:lineRule="auto" w:before="61" w:after="0"/>
        <w:ind w:left="4273" w:right="0" w:hanging="141"/>
        <w:jc w:val="left"/>
        <w:rPr>
          <w:sz w:val="18"/>
        </w:rPr>
      </w:pPr>
      <w:r>
        <w:rPr>
          <w:color w:val="231F20"/>
          <w:sz w:val="18"/>
        </w:rPr>
        <w:t>Council</w:t>
      </w:r>
      <w:r>
        <w:rPr>
          <w:color w:val="231F20"/>
          <w:spacing w:val="12"/>
          <w:sz w:val="18"/>
        </w:rPr>
        <w:t> </w:t>
      </w:r>
      <w:r>
        <w:rPr>
          <w:color w:val="231F20"/>
          <w:sz w:val="18"/>
        </w:rPr>
        <w:t>will</w:t>
      </w:r>
      <w:r>
        <w:rPr>
          <w:color w:val="231F20"/>
          <w:spacing w:val="12"/>
          <w:sz w:val="18"/>
        </w:rPr>
        <w:t> </w:t>
      </w:r>
      <w:r>
        <w:rPr>
          <w:color w:val="231F20"/>
          <w:sz w:val="18"/>
        </w:rPr>
        <w:t>continue</w:t>
      </w:r>
      <w:r>
        <w:rPr>
          <w:color w:val="231F20"/>
          <w:spacing w:val="12"/>
          <w:sz w:val="18"/>
        </w:rPr>
        <w:t> </w:t>
      </w:r>
      <w:r>
        <w:rPr>
          <w:color w:val="231F20"/>
          <w:sz w:val="18"/>
        </w:rPr>
        <w:t>to</w:t>
      </w:r>
      <w:r>
        <w:rPr>
          <w:color w:val="231F20"/>
          <w:spacing w:val="12"/>
          <w:sz w:val="18"/>
        </w:rPr>
        <w:t> </w:t>
      </w:r>
      <w:r>
        <w:rPr>
          <w:color w:val="231F20"/>
          <w:sz w:val="18"/>
        </w:rPr>
        <w:t>seek</w:t>
      </w:r>
      <w:r>
        <w:rPr>
          <w:color w:val="231F20"/>
          <w:spacing w:val="12"/>
          <w:sz w:val="18"/>
        </w:rPr>
        <w:t> </w:t>
      </w:r>
      <w:r>
        <w:rPr>
          <w:color w:val="231F20"/>
          <w:sz w:val="18"/>
        </w:rPr>
        <w:t>new</w:t>
      </w:r>
      <w:r>
        <w:rPr>
          <w:color w:val="231F20"/>
          <w:spacing w:val="12"/>
          <w:sz w:val="18"/>
        </w:rPr>
        <w:t> </w:t>
      </w:r>
      <w:r>
        <w:rPr>
          <w:color w:val="231F20"/>
          <w:sz w:val="18"/>
        </w:rPr>
        <w:t>opportunities</w:t>
      </w:r>
      <w:r>
        <w:rPr>
          <w:color w:val="231F20"/>
          <w:spacing w:val="12"/>
          <w:sz w:val="18"/>
        </w:rPr>
        <w:t> </w:t>
      </w:r>
      <w:r>
        <w:rPr>
          <w:color w:val="231F20"/>
          <w:sz w:val="18"/>
        </w:rPr>
        <w:t>for</w:t>
      </w:r>
      <w:r>
        <w:rPr>
          <w:color w:val="231F20"/>
          <w:spacing w:val="12"/>
          <w:sz w:val="18"/>
        </w:rPr>
        <w:t> </w:t>
      </w:r>
      <w:r>
        <w:rPr>
          <w:color w:val="231F20"/>
          <w:sz w:val="18"/>
        </w:rPr>
        <w:t>tree</w:t>
      </w:r>
      <w:r>
        <w:rPr>
          <w:color w:val="231F20"/>
          <w:spacing w:val="12"/>
          <w:sz w:val="18"/>
        </w:rPr>
        <w:t> </w:t>
      </w:r>
      <w:r>
        <w:rPr>
          <w:color w:val="231F20"/>
          <w:sz w:val="18"/>
        </w:rPr>
        <w:t>planting</w:t>
      </w:r>
      <w:r>
        <w:rPr>
          <w:color w:val="231F20"/>
          <w:spacing w:val="12"/>
          <w:sz w:val="18"/>
        </w:rPr>
        <w:t> </w:t>
      </w:r>
      <w:r>
        <w:rPr>
          <w:color w:val="231F20"/>
          <w:sz w:val="18"/>
        </w:rPr>
        <w:t>and</w:t>
      </w:r>
      <w:r>
        <w:rPr>
          <w:color w:val="231F20"/>
          <w:spacing w:val="12"/>
          <w:sz w:val="18"/>
        </w:rPr>
        <w:t> </w:t>
      </w:r>
      <w:r>
        <w:rPr>
          <w:color w:val="231F20"/>
          <w:sz w:val="18"/>
        </w:rPr>
        <w:t>will</w:t>
      </w:r>
      <w:r>
        <w:rPr>
          <w:color w:val="231F20"/>
          <w:spacing w:val="12"/>
          <w:sz w:val="18"/>
        </w:rPr>
        <w:t> </w:t>
      </w:r>
      <w:r>
        <w:rPr>
          <w:color w:val="231F20"/>
          <w:sz w:val="18"/>
        </w:rPr>
        <w:t>continue</w:t>
      </w:r>
      <w:r>
        <w:rPr>
          <w:color w:val="231F20"/>
          <w:spacing w:val="12"/>
          <w:sz w:val="18"/>
        </w:rPr>
        <w:t> </w:t>
      </w:r>
      <w:r>
        <w:rPr>
          <w:color w:val="231F20"/>
          <w:sz w:val="18"/>
        </w:rPr>
        <w:t>to</w:t>
      </w:r>
      <w:r>
        <w:rPr>
          <w:color w:val="231F20"/>
          <w:spacing w:val="12"/>
          <w:sz w:val="18"/>
        </w:rPr>
        <w:t> </w:t>
      </w:r>
      <w:r>
        <w:rPr>
          <w:color w:val="231F20"/>
          <w:sz w:val="18"/>
        </w:rPr>
        <w:t>plant</w:t>
      </w:r>
    </w:p>
    <w:p>
      <w:pPr>
        <w:pStyle w:val="BodyText"/>
        <w:spacing w:before="33"/>
        <w:ind w:left="3467" w:right="3875"/>
        <w:jc w:val="center"/>
      </w:pPr>
      <w:r>
        <w:rPr>
          <w:color w:val="231F20"/>
        </w:rPr>
        <w:t>trees in appropriate locations.</w:t>
      </w:r>
    </w:p>
    <w:p>
      <w:pPr>
        <w:pStyle w:val="ListParagraph"/>
        <w:numPr>
          <w:ilvl w:val="1"/>
          <w:numId w:val="4"/>
        </w:numPr>
        <w:tabs>
          <w:tab w:pos="4274" w:val="left" w:leader="none"/>
        </w:tabs>
        <w:spacing w:line="240" w:lineRule="auto" w:before="94" w:after="0"/>
        <w:ind w:left="4273" w:right="0" w:hanging="141"/>
        <w:jc w:val="left"/>
        <w:rPr>
          <w:sz w:val="18"/>
        </w:rPr>
      </w:pPr>
      <w:r>
        <w:rPr>
          <w:color w:val="231F20"/>
          <w:sz w:val="18"/>
        </w:rPr>
        <w:t>Assessment</w:t>
      </w:r>
      <w:r>
        <w:rPr>
          <w:color w:val="231F20"/>
          <w:spacing w:val="12"/>
          <w:sz w:val="18"/>
        </w:rPr>
        <w:t> </w:t>
      </w:r>
      <w:r>
        <w:rPr>
          <w:color w:val="231F20"/>
          <w:sz w:val="18"/>
        </w:rPr>
        <w:t>of</w:t>
      </w:r>
      <w:r>
        <w:rPr>
          <w:color w:val="231F20"/>
          <w:spacing w:val="12"/>
          <w:sz w:val="18"/>
        </w:rPr>
        <w:t> </w:t>
      </w:r>
      <w:r>
        <w:rPr>
          <w:color w:val="231F20"/>
          <w:sz w:val="18"/>
        </w:rPr>
        <w:t>Development</w:t>
      </w:r>
      <w:r>
        <w:rPr>
          <w:color w:val="231F20"/>
          <w:spacing w:val="2"/>
          <w:sz w:val="18"/>
        </w:rPr>
        <w:t> </w:t>
      </w:r>
      <w:r>
        <w:rPr>
          <w:color w:val="231F20"/>
          <w:sz w:val="18"/>
        </w:rPr>
        <w:t>Applications</w:t>
      </w:r>
      <w:r>
        <w:rPr>
          <w:color w:val="231F20"/>
          <w:spacing w:val="12"/>
          <w:sz w:val="18"/>
        </w:rPr>
        <w:t> </w:t>
      </w:r>
      <w:r>
        <w:rPr>
          <w:color w:val="231F20"/>
          <w:sz w:val="18"/>
        </w:rPr>
        <w:t>will</w:t>
      </w:r>
      <w:r>
        <w:rPr>
          <w:color w:val="231F20"/>
          <w:spacing w:val="12"/>
          <w:sz w:val="18"/>
        </w:rPr>
        <w:t> </w:t>
      </w:r>
      <w:r>
        <w:rPr>
          <w:color w:val="231F20"/>
          <w:sz w:val="18"/>
        </w:rPr>
        <w:t>ensure</w:t>
      </w:r>
      <w:r>
        <w:rPr>
          <w:color w:val="231F20"/>
          <w:spacing w:val="12"/>
          <w:sz w:val="18"/>
        </w:rPr>
        <w:t> </w:t>
      </w:r>
      <w:r>
        <w:rPr>
          <w:color w:val="231F20"/>
          <w:sz w:val="18"/>
        </w:rPr>
        <w:t>that</w:t>
      </w:r>
      <w:r>
        <w:rPr>
          <w:color w:val="231F20"/>
          <w:spacing w:val="12"/>
          <w:sz w:val="18"/>
        </w:rPr>
        <w:t> </w:t>
      </w:r>
      <w:r>
        <w:rPr>
          <w:color w:val="231F20"/>
          <w:sz w:val="18"/>
        </w:rPr>
        <w:t>proposed</w:t>
      </w:r>
      <w:r>
        <w:rPr>
          <w:color w:val="231F20"/>
          <w:spacing w:val="12"/>
          <w:sz w:val="18"/>
        </w:rPr>
        <w:t> </w:t>
      </w:r>
      <w:r>
        <w:rPr>
          <w:color w:val="231F20"/>
          <w:sz w:val="18"/>
        </w:rPr>
        <w:t>public</w:t>
      </w:r>
      <w:r>
        <w:rPr>
          <w:color w:val="231F20"/>
          <w:spacing w:val="12"/>
          <w:sz w:val="18"/>
        </w:rPr>
        <w:t> </w:t>
      </w:r>
      <w:r>
        <w:rPr>
          <w:color w:val="231F20"/>
          <w:sz w:val="18"/>
        </w:rPr>
        <w:t>realm</w:t>
      </w:r>
      <w:r>
        <w:rPr>
          <w:color w:val="231F20"/>
          <w:spacing w:val="12"/>
          <w:sz w:val="18"/>
        </w:rPr>
        <w:t> </w:t>
      </w:r>
      <w:r>
        <w:rPr>
          <w:color w:val="231F20"/>
          <w:sz w:val="18"/>
        </w:rPr>
        <w:t>tree</w:t>
      </w:r>
    </w:p>
    <w:p>
      <w:pPr>
        <w:pStyle w:val="BodyText"/>
        <w:spacing w:before="33"/>
        <w:ind w:left="4273"/>
      </w:pPr>
      <w:r>
        <w:rPr>
          <w:color w:val="231F20"/>
        </w:rPr>
        <w:t>plantings are compatible with Council’s desired landscape character for a given location.</w:t>
      </w:r>
    </w:p>
    <w:p>
      <w:pPr>
        <w:pStyle w:val="ListParagraph"/>
        <w:numPr>
          <w:ilvl w:val="1"/>
          <w:numId w:val="4"/>
        </w:numPr>
        <w:tabs>
          <w:tab w:pos="4274" w:val="left" w:leader="none"/>
        </w:tabs>
        <w:spacing w:line="240" w:lineRule="auto" w:before="94" w:after="0"/>
        <w:ind w:left="4273" w:right="0" w:hanging="141"/>
        <w:jc w:val="left"/>
        <w:rPr>
          <w:sz w:val="18"/>
        </w:rPr>
      </w:pPr>
      <w:r>
        <w:rPr>
          <w:color w:val="231F20"/>
          <w:sz w:val="18"/>
        </w:rPr>
        <w:t>Council</w:t>
      </w:r>
      <w:r>
        <w:rPr>
          <w:color w:val="231F20"/>
          <w:spacing w:val="11"/>
          <w:sz w:val="18"/>
        </w:rPr>
        <w:t> </w:t>
      </w:r>
      <w:r>
        <w:rPr>
          <w:color w:val="231F20"/>
          <w:sz w:val="18"/>
        </w:rPr>
        <w:t>will</w:t>
      </w:r>
      <w:r>
        <w:rPr>
          <w:color w:val="231F20"/>
          <w:spacing w:val="11"/>
          <w:sz w:val="18"/>
        </w:rPr>
        <w:t> </w:t>
      </w:r>
      <w:r>
        <w:rPr>
          <w:color w:val="231F20"/>
          <w:sz w:val="18"/>
        </w:rPr>
        <w:t>base</w:t>
      </w:r>
      <w:r>
        <w:rPr>
          <w:color w:val="231F20"/>
          <w:spacing w:val="11"/>
          <w:sz w:val="18"/>
        </w:rPr>
        <w:t> </w:t>
      </w:r>
      <w:r>
        <w:rPr>
          <w:color w:val="231F20"/>
          <w:sz w:val="18"/>
        </w:rPr>
        <w:t>any</w:t>
      </w:r>
      <w:r>
        <w:rPr>
          <w:color w:val="231F20"/>
          <w:spacing w:val="11"/>
          <w:sz w:val="18"/>
        </w:rPr>
        <w:t> </w:t>
      </w:r>
      <w:r>
        <w:rPr>
          <w:color w:val="231F20"/>
          <w:sz w:val="18"/>
        </w:rPr>
        <w:t>decision</w:t>
      </w:r>
      <w:r>
        <w:rPr>
          <w:color w:val="231F20"/>
          <w:spacing w:val="11"/>
          <w:sz w:val="18"/>
        </w:rPr>
        <w:t> </w:t>
      </w:r>
      <w:r>
        <w:rPr>
          <w:color w:val="231F20"/>
          <w:sz w:val="18"/>
        </w:rPr>
        <w:t>to</w:t>
      </w:r>
      <w:r>
        <w:rPr>
          <w:color w:val="231F20"/>
          <w:spacing w:val="11"/>
          <w:sz w:val="18"/>
        </w:rPr>
        <w:t> </w:t>
      </w:r>
      <w:r>
        <w:rPr>
          <w:color w:val="231F20"/>
          <w:sz w:val="18"/>
        </w:rPr>
        <w:t>remove</w:t>
      </w:r>
      <w:r>
        <w:rPr>
          <w:color w:val="231F20"/>
          <w:spacing w:val="11"/>
          <w:sz w:val="18"/>
        </w:rPr>
        <w:t> </w:t>
      </w:r>
      <w:r>
        <w:rPr>
          <w:color w:val="231F20"/>
          <w:sz w:val="18"/>
        </w:rPr>
        <w:t>a</w:t>
      </w:r>
      <w:r>
        <w:rPr>
          <w:color w:val="231F20"/>
          <w:spacing w:val="11"/>
          <w:sz w:val="18"/>
        </w:rPr>
        <w:t> </w:t>
      </w:r>
      <w:r>
        <w:rPr>
          <w:color w:val="231F20"/>
          <w:sz w:val="18"/>
        </w:rPr>
        <w:t>tree</w:t>
      </w:r>
      <w:r>
        <w:rPr>
          <w:color w:val="231F20"/>
          <w:spacing w:val="11"/>
          <w:sz w:val="18"/>
        </w:rPr>
        <w:t> </w:t>
      </w:r>
      <w:r>
        <w:rPr>
          <w:color w:val="231F20"/>
          <w:sz w:val="18"/>
        </w:rPr>
        <w:t>or</w:t>
      </w:r>
      <w:r>
        <w:rPr>
          <w:color w:val="231F20"/>
          <w:spacing w:val="11"/>
          <w:sz w:val="18"/>
        </w:rPr>
        <w:t> </w:t>
      </w:r>
      <w:r>
        <w:rPr>
          <w:color w:val="231F20"/>
          <w:sz w:val="18"/>
        </w:rPr>
        <w:t>trees</w:t>
      </w:r>
      <w:r>
        <w:rPr>
          <w:color w:val="231F20"/>
          <w:spacing w:val="11"/>
          <w:sz w:val="18"/>
        </w:rPr>
        <w:t> </w:t>
      </w:r>
      <w:r>
        <w:rPr>
          <w:color w:val="231F20"/>
          <w:sz w:val="18"/>
        </w:rPr>
        <w:t>on</w:t>
      </w:r>
      <w:r>
        <w:rPr>
          <w:color w:val="231F20"/>
          <w:spacing w:val="11"/>
          <w:sz w:val="18"/>
        </w:rPr>
        <w:t> </w:t>
      </w:r>
      <w:r>
        <w:rPr>
          <w:color w:val="231F20"/>
          <w:sz w:val="18"/>
        </w:rPr>
        <w:t>one</w:t>
      </w:r>
      <w:r>
        <w:rPr>
          <w:color w:val="231F20"/>
          <w:spacing w:val="11"/>
          <w:sz w:val="18"/>
        </w:rPr>
        <w:t> </w:t>
      </w:r>
      <w:r>
        <w:rPr>
          <w:color w:val="231F20"/>
          <w:sz w:val="18"/>
        </w:rPr>
        <w:t>or</w:t>
      </w:r>
      <w:r>
        <w:rPr>
          <w:color w:val="231F20"/>
          <w:spacing w:val="11"/>
          <w:sz w:val="18"/>
        </w:rPr>
        <w:t> </w:t>
      </w:r>
      <w:r>
        <w:rPr>
          <w:color w:val="231F20"/>
          <w:sz w:val="18"/>
        </w:rPr>
        <w:t>more</w:t>
      </w:r>
      <w:r>
        <w:rPr>
          <w:color w:val="231F20"/>
          <w:spacing w:val="11"/>
          <w:sz w:val="18"/>
        </w:rPr>
        <w:t> </w:t>
      </w:r>
      <w:r>
        <w:rPr>
          <w:color w:val="231F20"/>
          <w:sz w:val="18"/>
        </w:rPr>
        <w:t>of</w:t>
      </w:r>
      <w:r>
        <w:rPr>
          <w:color w:val="231F20"/>
          <w:spacing w:val="11"/>
          <w:sz w:val="18"/>
        </w:rPr>
        <w:t> </w:t>
      </w:r>
      <w:r>
        <w:rPr>
          <w:color w:val="231F20"/>
          <w:sz w:val="18"/>
        </w:rPr>
        <w:t>the</w:t>
      </w:r>
      <w:r>
        <w:rPr>
          <w:color w:val="231F20"/>
          <w:spacing w:val="11"/>
          <w:sz w:val="18"/>
        </w:rPr>
        <w:t> </w:t>
      </w:r>
      <w:r>
        <w:rPr>
          <w:color w:val="231F20"/>
          <w:sz w:val="18"/>
        </w:rPr>
        <w:t>following:</w:t>
      </w:r>
    </w:p>
    <w:p>
      <w:pPr>
        <w:spacing w:after="0" w:line="240" w:lineRule="auto"/>
        <w:jc w:val="left"/>
        <w:rPr>
          <w:sz w:val="18"/>
        </w:rPr>
        <w:sectPr>
          <w:pgSz w:w="11910" w:h="16840"/>
          <w:pgMar w:header="0" w:footer="779" w:top="1280" w:bottom="960" w:left="460" w:right="440"/>
        </w:sectPr>
      </w:pPr>
    </w:p>
    <w:p>
      <w:pPr>
        <w:spacing w:before="86"/>
        <w:ind w:left="0" w:right="966" w:firstLine="0"/>
        <w:jc w:val="right"/>
        <w:rPr>
          <w:i/>
          <w:sz w:val="24"/>
        </w:rPr>
      </w:pPr>
      <w:r>
        <w:rPr/>
        <w:pict>
          <v:group style="position:absolute;margin-left:42.5201pt;margin-top:28.346714pt;width:524.450pt;height:771.05pt;mso-position-horizontal-relative:page;mso-position-vertical-relative:page;z-index:-95728" coordorigin="850,567" coordsize="10489,15421">
            <v:line style="position:absolute" from="7942,567" to="7942,15987" stroked="true" strokeweight=".25pt" strokecolor="#808285">
              <v:stroke dashstyle="solid"/>
            </v:line>
            <v:line style="position:absolute" from="11339,2059" to="850,2059" stroked="true" strokeweight=".25pt" strokecolor="#808285">
              <v:stroke dashstyle="solid"/>
            </v:line>
            <w10:wrap type="none"/>
          </v:group>
        </w:pict>
      </w:r>
      <w:r>
        <w:rPr>
          <w:i/>
          <w:color w:val="231F20"/>
          <w:sz w:val="24"/>
        </w:rPr>
        <w:t>Marrickville Council</w:t>
      </w:r>
    </w:p>
    <w:p>
      <w:pPr>
        <w:spacing w:before="25"/>
        <w:ind w:left="0" w:right="964" w:firstLine="0"/>
        <w:jc w:val="right"/>
        <w:rPr>
          <w:b/>
          <w:i/>
          <w:sz w:val="24"/>
        </w:rPr>
      </w:pPr>
      <w:r>
        <w:rPr>
          <w:b/>
          <w:i/>
          <w:color w:val="231F20"/>
          <w:sz w:val="24"/>
        </w:rPr>
        <w:t>Urban  Forest Strategy</w:t>
      </w:r>
    </w:p>
    <w:p>
      <w:pPr>
        <w:pStyle w:val="BodyText"/>
        <w:rPr>
          <w:b/>
          <w:i/>
          <w:sz w:val="20"/>
        </w:rPr>
      </w:pPr>
    </w:p>
    <w:p>
      <w:pPr>
        <w:pStyle w:val="BodyText"/>
        <w:rPr>
          <w:b/>
          <w:i/>
          <w:sz w:val="20"/>
        </w:rPr>
      </w:pPr>
    </w:p>
    <w:p>
      <w:pPr>
        <w:pStyle w:val="BodyText"/>
        <w:spacing w:before="3"/>
        <w:rPr>
          <w:b/>
          <w:i/>
          <w:sz w:val="19"/>
        </w:rPr>
      </w:pPr>
    </w:p>
    <w:p>
      <w:pPr>
        <w:pStyle w:val="ListParagraph"/>
        <w:numPr>
          <w:ilvl w:val="0"/>
          <w:numId w:val="5"/>
        </w:numPr>
        <w:tabs>
          <w:tab w:pos="674" w:val="left" w:leader="none"/>
        </w:tabs>
        <w:spacing w:line="348" w:lineRule="auto" w:before="0" w:after="0"/>
        <w:ind w:left="673" w:right="4288" w:hanging="283"/>
        <w:jc w:val="left"/>
        <w:rPr>
          <w:sz w:val="18"/>
        </w:rPr>
      </w:pPr>
      <w:r>
        <w:rPr>
          <w:color w:val="231F20"/>
          <w:sz w:val="18"/>
        </w:rPr>
        <w:t>The condition of the tree, where a tree is dead or dying, or where it is assessed that it is dangerous.</w:t>
      </w:r>
    </w:p>
    <w:p>
      <w:pPr>
        <w:pStyle w:val="BodyText"/>
        <w:spacing w:before="3"/>
        <w:rPr>
          <w:sz w:val="26"/>
        </w:rPr>
      </w:pPr>
    </w:p>
    <w:p>
      <w:pPr>
        <w:pStyle w:val="ListParagraph"/>
        <w:numPr>
          <w:ilvl w:val="0"/>
          <w:numId w:val="5"/>
        </w:numPr>
        <w:tabs>
          <w:tab w:pos="674" w:val="left" w:leader="none"/>
        </w:tabs>
        <w:spacing w:line="348" w:lineRule="auto" w:before="0" w:after="0"/>
        <w:ind w:left="673" w:right="4115" w:hanging="283"/>
        <w:jc w:val="left"/>
        <w:rPr>
          <w:sz w:val="18"/>
        </w:rPr>
      </w:pPr>
      <w:r>
        <w:rPr>
          <w:color w:val="231F20"/>
          <w:sz w:val="18"/>
        </w:rPr>
        <w:t>Public infrastructure damage being caused by the tree, which is considered significant </w:t>
      </w:r>
      <w:r>
        <w:rPr>
          <w:color w:val="231F20"/>
          <w:spacing w:val="1"/>
          <w:sz w:val="18"/>
        </w:rPr>
        <w:t>and </w:t>
      </w:r>
      <w:r>
        <w:rPr>
          <w:color w:val="231F20"/>
          <w:sz w:val="18"/>
        </w:rPr>
        <w:t>which cannot be overcome by any other</w:t>
      </w:r>
      <w:r>
        <w:rPr>
          <w:color w:val="231F20"/>
          <w:spacing w:val="15"/>
          <w:sz w:val="18"/>
        </w:rPr>
        <w:t> </w:t>
      </w:r>
      <w:r>
        <w:rPr>
          <w:color w:val="231F20"/>
          <w:spacing w:val="1"/>
          <w:sz w:val="18"/>
        </w:rPr>
        <w:t>means.</w:t>
      </w:r>
    </w:p>
    <w:p>
      <w:pPr>
        <w:pStyle w:val="BodyText"/>
        <w:spacing w:before="2"/>
        <w:rPr>
          <w:sz w:val="26"/>
        </w:rPr>
      </w:pPr>
    </w:p>
    <w:p>
      <w:pPr>
        <w:pStyle w:val="ListParagraph"/>
        <w:numPr>
          <w:ilvl w:val="0"/>
          <w:numId w:val="5"/>
        </w:numPr>
        <w:tabs>
          <w:tab w:pos="674" w:val="left" w:leader="none"/>
        </w:tabs>
        <w:spacing w:line="240" w:lineRule="auto" w:before="0" w:after="0"/>
        <w:ind w:left="673" w:right="0" w:hanging="283"/>
        <w:jc w:val="left"/>
        <w:rPr>
          <w:sz w:val="18"/>
        </w:rPr>
      </w:pPr>
      <w:r>
        <w:rPr>
          <w:color w:val="231F20"/>
          <w:sz w:val="18"/>
        </w:rPr>
        <w:t>Damage to major structures on private</w:t>
      </w:r>
      <w:r>
        <w:rPr>
          <w:color w:val="231F20"/>
          <w:spacing w:val="3"/>
          <w:sz w:val="18"/>
        </w:rPr>
        <w:t> </w:t>
      </w:r>
      <w:r>
        <w:rPr>
          <w:color w:val="231F20"/>
          <w:sz w:val="18"/>
        </w:rPr>
        <w:t>property.</w:t>
      </w:r>
    </w:p>
    <w:p>
      <w:pPr>
        <w:pStyle w:val="BodyText"/>
        <w:rPr>
          <w:sz w:val="20"/>
        </w:rPr>
      </w:pPr>
    </w:p>
    <w:p>
      <w:pPr>
        <w:pStyle w:val="ListParagraph"/>
        <w:numPr>
          <w:ilvl w:val="0"/>
          <w:numId w:val="5"/>
        </w:numPr>
        <w:tabs>
          <w:tab w:pos="674" w:val="left" w:leader="none"/>
        </w:tabs>
        <w:spacing w:line="348" w:lineRule="auto" w:before="164" w:after="0"/>
        <w:ind w:left="673" w:right="3931" w:hanging="283"/>
        <w:jc w:val="left"/>
        <w:rPr>
          <w:sz w:val="18"/>
        </w:rPr>
      </w:pPr>
      <w:r>
        <w:rPr>
          <w:color w:val="231F20"/>
          <w:sz w:val="18"/>
        </w:rPr>
        <w:t>Any other reason at the discretion of Council's staff, which can be justified either on technical      or legal grounds according to particular</w:t>
      </w:r>
      <w:r>
        <w:rPr>
          <w:color w:val="231F20"/>
          <w:spacing w:val="12"/>
          <w:sz w:val="18"/>
        </w:rPr>
        <w:t> </w:t>
      </w:r>
      <w:r>
        <w:rPr>
          <w:color w:val="231F20"/>
          <w:sz w:val="18"/>
        </w:rPr>
        <w:t>circumstances.</w:t>
      </w:r>
    </w:p>
    <w:p>
      <w:pPr>
        <w:pStyle w:val="ListParagraph"/>
        <w:numPr>
          <w:ilvl w:val="1"/>
          <w:numId w:val="5"/>
        </w:numPr>
        <w:tabs>
          <w:tab w:pos="873" w:val="left" w:leader="none"/>
        </w:tabs>
        <w:spacing w:line="240" w:lineRule="auto" w:before="1" w:after="0"/>
        <w:ind w:left="872" w:right="0" w:hanging="142"/>
        <w:jc w:val="left"/>
        <w:rPr>
          <w:sz w:val="18"/>
        </w:rPr>
      </w:pPr>
      <w:r>
        <w:rPr>
          <w:color w:val="231F20"/>
          <w:sz w:val="18"/>
        </w:rPr>
        <w:t>Council</w:t>
      </w:r>
      <w:r>
        <w:rPr>
          <w:color w:val="231F20"/>
          <w:spacing w:val="7"/>
          <w:sz w:val="18"/>
        </w:rPr>
        <w:t> </w:t>
      </w:r>
      <w:r>
        <w:rPr>
          <w:color w:val="231F20"/>
          <w:sz w:val="18"/>
        </w:rPr>
        <w:t>will</w:t>
      </w:r>
      <w:r>
        <w:rPr>
          <w:color w:val="231F20"/>
          <w:spacing w:val="7"/>
          <w:sz w:val="18"/>
        </w:rPr>
        <w:t> </w:t>
      </w:r>
      <w:r>
        <w:rPr>
          <w:color w:val="231F20"/>
          <w:sz w:val="18"/>
        </w:rPr>
        <w:t>notify</w:t>
      </w:r>
      <w:r>
        <w:rPr>
          <w:color w:val="231F20"/>
          <w:spacing w:val="7"/>
          <w:sz w:val="18"/>
        </w:rPr>
        <w:t> </w:t>
      </w:r>
      <w:r>
        <w:rPr>
          <w:color w:val="231F20"/>
          <w:sz w:val="18"/>
        </w:rPr>
        <w:t>and,</w:t>
      </w:r>
      <w:r>
        <w:rPr>
          <w:color w:val="231F20"/>
          <w:spacing w:val="7"/>
          <w:sz w:val="18"/>
        </w:rPr>
        <w:t> </w:t>
      </w:r>
      <w:r>
        <w:rPr>
          <w:color w:val="231F20"/>
          <w:sz w:val="18"/>
        </w:rPr>
        <w:t>where</w:t>
      </w:r>
      <w:r>
        <w:rPr>
          <w:color w:val="231F20"/>
          <w:spacing w:val="7"/>
          <w:sz w:val="18"/>
        </w:rPr>
        <w:t> </w:t>
      </w:r>
      <w:r>
        <w:rPr>
          <w:color w:val="231F20"/>
          <w:sz w:val="18"/>
        </w:rPr>
        <w:t>appropriate,</w:t>
      </w:r>
      <w:r>
        <w:rPr>
          <w:color w:val="231F20"/>
          <w:spacing w:val="7"/>
          <w:sz w:val="18"/>
        </w:rPr>
        <w:t> </w:t>
      </w:r>
      <w:r>
        <w:rPr>
          <w:color w:val="231F20"/>
          <w:sz w:val="18"/>
        </w:rPr>
        <w:t>consult</w:t>
      </w:r>
      <w:r>
        <w:rPr>
          <w:color w:val="231F20"/>
          <w:spacing w:val="7"/>
          <w:sz w:val="18"/>
        </w:rPr>
        <w:t> </w:t>
      </w:r>
      <w:r>
        <w:rPr>
          <w:color w:val="231F20"/>
          <w:sz w:val="18"/>
        </w:rPr>
        <w:t>the</w:t>
      </w:r>
      <w:r>
        <w:rPr>
          <w:color w:val="231F20"/>
          <w:spacing w:val="7"/>
          <w:sz w:val="18"/>
        </w:rPr>
        <w:t> </w:t>
      </w:r>
      <w:r>
        <w:rPr>
          <w:color w:val="231F20"/>
          <w:sz w:val="18"/>
        </w:rPr>
        <w:t>community</w:t>
      </w:r>
      <w:r>
        <w:rPr>
          <w:color w:val="231F20"/>
          <w:spacing w:val="7"/>
          <w:sz w:val="18"/>
        </w:rPr>
        <w:t> </w:t>
      </w:r>
      <w:r>
        <w:rPr>
          <w:color w:val="231F20"/>
          <w:sz w:val="18"/>
        </w:rPr>
        <w:t>about</w:t>
      </w:r>
      <w:r>
        <w:rPr>
          <w:color w:val="231F20"/>
          <w:spacing w:val="7"/>
          <w:sz w:val="18"/>
        </w:rPr>
        <w:t> </w:t>
      </w:r>
      <w:r>
        <w:rPr>
          <w:color w:val="231F20"/>
          <w:sz w:val="18"/>
        </w:rPr>
        <w:t>planned</w:t>
      </w:r>
      <w:r>
        <w:rPr>
          <w:color w:val="231F20"/>
          <w:spacing w:val="7"/>
          <w:sz w:val="18"/>
        </w:rPr>
        <w:t> </w:t>
      </w:r>
      <w:r>
        <w:rPr>
          <w:color w:val="231F20"/>
          <w:sz w:val="18"/>
        </w:rPr>
        <w:t>tree</w:t>
      </w:r>
    </w:p>
    <w:p>
      <w:pPr>
        <w:pStyle w:val="BodyText"/>
        <w:spacing w:before="34"/>
        <w:ind w:left="872"/>
      </w:pPr>
      <w:r>
        <w:rPr>
          <w:color w:val="231F20"/>
        </w:rPr>
        <w:t>removal and planting activities.</w:t>
      </w:r>
    </w:p>
    <w:p>
      <w:pPr>
        <w:pStyle w:val="ListParagraph"/>
        <w:numPr>
          <w:ilvl w:val="1"/>
          <w:numId w:val="5"/>
        </w:numPr>
        <w:tabs>
          <w:tab w:pos="873" w:val="left" w:leader="none"/>
        </w:tabs>
        <w:spacing w:line="278" w:lineRule="auto" w:before="93" w:after="0"/>
        <w:ind w:left="872" w:right="3943" w:hanging="142"/>
        <w:jc w:val="left"/>
        <w:rPr>
          <w:sz w:val="18"/>
        </w:rPr>
      </w:pPr>
      <w:r>
        <w:rPr>
          <w:color w:val="231F20"/>
          <w:sz w:val="18"/>
        </w:rPr>
        <w:t>Exceptional circumstances not withstanding, Council will not prune or remove trees due to    the effects of the natural processes of trees and wildlife including; leaf, fruit or sap drop;      bird</w:t>
      </w:r>
      <w:r>
        <w:rPr>
          <w:color w:val="231F20"/>
          <w:spacing w:val="10"/>
          <w:sz w:val="18"/>
        </w:rPr>
        <w:t> </w:t>
      </w:r>
      <w:r>
        <w:rPr>
          <w:color w:val="231F20"/>
          <w:sz w:val="18"/>
        </w:rPr>
        <w:t>and</w:t>
      </w:r>
      <w:r>
        <w:rPr>
          <w:color w:val="231F20"/>
          <w:spacing w:val="10"/>
          <w:sz w:val="18"/>
        </w:rPr>
        <w:t> </w:t>
      </w:r>
      <w:r>
        <w:rPr>
          <w:color w:val="231F20"/>
          <w:sz w:val="18"/>
        </w:rPr>
        <w:t>bat</w:t>
      </w:r>
      <w:r>
        <w:rPr>
          <w:color w:val="231F20"/>
          <w:spacing w:val="10"/>
          <w:sz w:val="18"/>
        </w:rPr>
        <w:t> </w:t>
      </w:r>
      <w:r>
        <w:rPr>
          <w:color w:val="231F20"/>
          <w:sz w:val="18"/>
        </w:rPr>
        <w:t>droppings</w:t>
      </w:r>
      <w:r>
        <w:rPr>
          <w:color w:val="231F20"/>
          <w:spacing w:val="10"/>
          <w:sz w:val="18"/>
        </w:rPr>
        <w:t> </w:t>
      </w:r>
      <w:r>
        <w:rPr>
          <w:color w:val="231F20"/>
          <w:sz w:val="18"/>
        </w:rPr>
        <w:t>or</w:t>
      </w:r>
      <w:r>
        <w:rPr>
          <w:color w:val="231F20"/>
          <w:spacing w:val="10"/>
          <w:sz w:val="18"/>
        </w:rPr>
        <w:t> </w:t>
      </w:r>
      <w:r>
        <w:rPr>
          <w:color w:val="231F20"/>
          <w:sz w:val="18"/>
        </w:rPr>
        <w:t>because</w:t>
      </w:r>
      <w:r>
        <w:rPr>
          <w:color w:val="231F20"/>
          <w:spacing w:val="10"/>
          <w:sz w:val="18"/>
        </w:rPr>
        <w:t> </w:t>
      </w:r>
      <w:r>
        <w:rPr>
          <w:color w:val="231F20"/>
          <w:sz w:val="18"/>
        </w:rPr>
        <w:t>branches</w:t>
      </w:r>
      <w:r>
        <w:rPr>
          <w:color w:val="231F20"/>
          <w:spacing w:val="10"/>
          <w:sz w:val="18"/>
        </w:rPr>
        <w:t> </w:t>
      </w:r>
      <w:r>
        <w:rPr>
          <w:color w:val="231F20"/>
          <w:sz w:val="18"/>
        </w:rPr>
        <w:t>overhang</w:t>
      </w:r>
      <w:r>
        <w:rPr>
          <w:color w:val="231F20"/>
          <w:spacing w:val="10"/>
          <w:sz w:val="18"/>
        </w:rPr>
        <w:t> </w:t>
      </w:r>
      <w:r>
        <w:rPr>
          <w:color w:val="231F20"/>
          <w:sz w:val="18"/>
        </w:rPr>
        <w:t>private</w:t>
      </w:r>
      <w:r>
        <w:rPr>
          <w:color w:val="231F20"/>
          <w:spacing w:val="10"/>
          <w:sz w:val="18"/>
        </w:rPr>
        <w:t> </w:t>
      </w:r>
      <w:r>
        <w:rPr>
          <w:color w:val="231F20"/>
          <w:sz w:val="18"/>
        </w:rPr>
        <w:t>properties.</w:t>
      </w:r>
    </w:p>
    <w:p>
      <w:pPr>
        <w:pStyle w:val="BodyText"/>
        <w:rPr>
          <w:sz w:val="20"/>
        </w:rPr>
      </w:pPr>
    </w:p>
    <w:p>
      <w:pPr>
        <w:pStyle w:val="BodyText"/>
        <w:spacing w:before="6"/>
        <w:rPr>
          <w:sz w:val="25"/>
        </w:rPr>
      </w:pPr>
    </w:p>
    <w:p>
      <w:pPr>
        <w:pStyle w:val="Heading3"/>
        <w:numPr>
          <w:ilvl w:val="0"/>
          <w:numId w:val="4"/>
        </w:numPr>
        <w:tabs>
          <w:tab w:pos="585" w:val="left" w:leader="none"/>
        </w:tabs>
        <w:spacing w:line="240" w:lineRule="auto" w:before="1" w:after="0"/>
        <w:ind w:left="584" w:right="0" w:hanging="194"/>
        <w:jc w:val="left"/>
      </w:pPr>
      <w:r>
        <w:rPr>
          <w:color w:val="231F20"/>
          <w:spacing w:val="1"/>
        </w:rPr>
        <w:t>Community </w:t>
      </w:r>
      <w:r>
        <w:rPr>
          <w:color w:val="231F20"/>
          <w:spacing w:val="6"/>
        </w:rPr>
        <w:t> </w:t>
      </w:r>
      <w:r>
        <w:rPr>
          <w:color w:val="231F20"/>
        </w:rPr>
        <w:t>Involvement</w:t>
      </w:r>
    </w:p>
    <w:p>
      <w:pPr>
        <w:pStyle w:val="ListParagraph"/>
        <w:numPr>
          <w:ilvl w:val="1"/>
          <w:numId w:val="5"/>
        </w:numPr>
        <w:tabs>
          <w:tab w:pos="873" w:val="left" w:leader="none"/>
        </w:tabs>
        <w:spacing w:line="240" w:lineRule="auto" w:before="89" w:after="0"/>
        <w:ind w:left="872" w:right="0" w:hanging="142"/>
        <w:jc w:val="left"/>
        <w:rPr>
          <w:sz w:val="18"/>
        </w:rPr>
      </w:pPr>
      <w:r>
        <w:rPr>
          <w:color w:val="231F20"/>
          <w:sz w:val="18"/>
        </w:rPr>
        <w:t>Council</w:t>
      </w:r>
      <w:r>
        <w:rPr>
          <w:color w:val="231F20"/>
          <w:spacing w:val="7"/>
          <w:sz w:val="18"/>
        </w:rPr>
        <w:t> </w:t>
      </w:r>
      <w:r>
        <w:rPr>
          <w:color w:val="231F20"/>
          <w:sz w:val="18"/>
        </w:rPr>
        <w:t>will</w:t>
      </w:r>
      <w:r>
        <w:rPr>
          <w:color w:val="231F20"/>
          <w:spacing w:val="7"/>
          <w:sz w:val="18"/>
        </w:rPr>
        <w:t> </w:t>
      </w:r>
      <w:r>
        <w:rPr>
          <w:color w:val="231F20"/>
          <w:sz w:val="18"/>
        </w:rPr>
        <w:t>involve</w:t>
      </w:r>
      <w:r>
        <w:rPr>
          <w:color w:val="231F20"/>
          <w:spacing w:val="7"/>
          <w:sz w:val="18"/>
        </w:rPr>
        <w:t> </w:t>
      </w:r>
      <w:r>
        <w:rPr>
          <w:color w:val="231F20"/>
          <w:sz w:val="18"/>
        </w:rPr>
        <w:t>the</w:t>
      </w:r>
      <w:r>
        <w:rPr>
          <w:color w:val="231F20"/>
          <w:spacing w:val="7"/>
          <w:sz w:val="18"/>
        </w:rPr>
        <w:t> </w:t>
      </w:r>
      <w:r>
        <w:rPr>
          <w:color w:val="231F20"/>
          <w:sz w:val="18"/>
        </w:rPr>
        <w:t>community</w:t>
      </w:r>
      <w:r>
        <w:rPr>
          <w:color w:val="231F20"/>
          <w:spacing w:val="7"/>
          <w:sz w:val="18"/>
        </w:rPr>
        <w:t> </w:t>
      </w:r>
      <w:r>
        <w:rPr>
          <w:color w:val="231F20"/>
          <w:sz w:val="18"/>
        </w:rPr>
        <w:t>as</w:t>
      </w:r>
      <w:r>
        <w:rPr>
          <w:color w:val="231F20"/>
          <w:spacing w:val="7"/>
          <w:sz w:val="18"/>
        </w:rPr>
        <w:t> </w:t>
      </w:r>
      <w:r>
        <w:rPr>
          <w:color w:val="231F20"/>
          <w:sz w:val="18"/>
        </w:rPr>
        <w:t>a</w:t>
      </w:r>
      <w:r>
        <w:rPr>
          <w:color w:val="231F20"/>
          <w:spacing w:val="7"/>
          <w:sz w:val="18"/>
        </w:rPr>
        <w:t> </w:t>
      </w:r>
      <w:r>
        <w:rPr>
          <w:color w:val="231F20"/>
          <w:sz w:val="18"/>
        </w:rPr>
        <w:t>key</w:t>
      </w:r>
      <w:r>
        <w:rPr>
          <w:color w:val="231F20"/>
          <w:spacing w:val="7"/>
          <w:sz w:val="18"/>
        </w:rPr>
        <w:t> </w:t>
      </w:r>
      <w:r>
        <w:rPr>
          <w:color w:val="231F20"/>
          <w:sz w:val="18"/>
        </w:rPr>
        <w:t>partner</w:t>
      </w:r>
      <w:r>
        <w:rPr>
          <w:color w:val="231F20"/>
          <w:spacing w:val="7"/>
          <w:sz w:val="18"/>
        </w:rPr>
        <w:t> </w:t>
      </w:r>
      <w:r>
        <w:rPr>
          <w:color w:val="231F20"/>
          <w:sz w:val="18"/>
        </w:rPr>
        <w:t>in</w:t>
      </w:r>
      <w:r>
        <w:rPr>
          <w:color w:val="231F20"/>
          <w:spacing w:val="7"/>
          <w:sz w:val="18"/>
        </w:rPr>
        <w:t> </w:t>
      </w:r>
      <w:r>
        <w:rPr>
          <w:color w:val="231F20"/>
          <w:sz w:val="18"/>
        </w:rPr>
        <w:t>managing</w:t>
      </w:r>
      <w:r>
        <w:rPr>
          <w:color w:val="231F20"/>
          <w:spacing w:val="7"/>
          <w:sz w:val="18"/>
        </w:rPr>
        <w:t> </w:t>
      </w:r>
      <w:r>
        <w:rPr>
          <w:color w:val="231F20"/>
          <w:sz w:val="18"/>
        </w:rPr>
        <w:t>the</w:t>
      </w:r>
      <w:r>
        <w:rPr>
          <w:color w:val="231F20"/>
          <w:spacing w:val="7"/>
          <w:sz w:val="18"/>
        </w:rPr>
        <w:t> </w:t>
      </w:r>
      <w:r>
        <w:rPr>
          <w:color w:val="231F20"/>
          <w:sz w:val="18"/>
        </w:rPr>
        <w:t>urban</w:t>
      </w:r>
      <w:r>
        <w:rPr>
          <w:color w:val="231F20"/>
          <w:spacing w:val="7"/>
          <w:sz w:val="18"/>
        </w:rPr>
        <w:t> </w:t>
      </w:r>
      <w:r>
        <w:rPr>
          <w:color w:val="231F20"/>
          <w:sz w:val="18"/>
        </w:rPr>
        <w:t>forest</w:t>
      </w:r>
      <w:r>
        <w:rPr>
          <w:color w:val="231F20"/>
          <w:spacing w:val="7"/>
          <w:sz w:val="18"/>
        </w:rPr>
        <w:t> </w:t>
      </w:r>
      <w:r>
        <w:rPr>
          <w:color w:val="231F20"/>
          <w:sz w:val="18"/>
        </w:rPr>
        <w:t>in</w:t>
      </w:r>
    </w:p>
    <w:p>
      <w:pPr>
        <w:pStyle w:val="BodyText"/>
        <w:spacing w:before="33"/>
        <w:ind w:left="872"/>
      </w:pPr>
      <w:r>
        <w:rPr>
          <w:color w:val="231F20"/>
        </w:rPr>
        <w:t>Marrickville LGA.</w:t>
      </w:r>
    </w:p>
    <w:p>
      <w:pPr>
        <w:spacing w:after="0"/>
        <w:sectPr>
          <w:pgSz w:w="11910" w:h="16840"/>
          <w:pgMar w:header="0" w:footer="779" w:top="1280" w:bottom="960" w:left="460" w:right="440"/>
        </w:sectPr>
      </w:pPr>
    </w:p>
    <w:p>
      <w:pPr>
        <w:spacing w:before="86"/>
        <w:ind w:left="1347" w:right="0" w:firstLine="0"/>
        <w:jc w:val="left"/>
        <w:rPr>
          <w:i/>
          <w:sz w:val="24"/>
        </w:rPr>
      </w:pPr>
      <w:r>
        <w:rPr>
          <w:i/>
          <w:color w:val="231F20"/>
          <w:sz w:val="24"/>
        </w:rPr>
        <w:t>Marrickville Council</w:t>
      </w:r>
    </w:p>
    <w:p>
      <w:pPr>
        <w:spacing w:before="25"/>
        <w:ind w:left="966" w:right="0" w:firstLine="0"/>
        <w:jc w:val="left"/>
        <w:rPr>
          <w:b/>
          <w:i/>
          <w:sz w:val="24"/>
        </w:rPr>
      </w:pPr>
      <w:r>
        <w:rPr>
          <w:b/>
          <w:i/>
          <w:color w:val="231F20"/>
          <w:sz w:val="24"/>
        </w:rPr>
        <w:t>Urban  Forest Strategy</w:t>
      </w:r>
    </w:p>
    <w:p>
      <w:pPr>
        <w:pStyle w:val="BodyText"/>
        <w:spacing w:before="4"/>
        <w:rPr>
          <w:b/>
          <w:i/>
          <w:sz w:val="30"/>
        </w:rPr>
      </w:pPr>
      <w:r>
        <w:rPr/>
        <w:br w:type="column"/>
      </w:r>
      <w:r>
        <w:rPr>
          <w:b/>
          <w:i/>
          <w:sz w:val="30"/>
        </w:rPr>
      </w:r>
    </w:p>
    <w:p>
      <w:pPr>
        <w:pStyle w:val="Heading1"/>
        <w:ind w:left="523"/>
      </w:pPr>
      <w:bookmarkStart w:name="_TOC_250003" w:id="1"/>
      <w:bookmarkEnd w:id="1"/>
      <w:r>
        <w:rPr>
          <w:color w:val="231F20"/>
        </w:rPr>
        <w:t>EXECUTIVE SUMMARY</w:t>
      </w:r>
    </w:p>
    <w:p>
      <w:pPr>
        <w:spacing w:after="0"/>
        <w:sectPr>
          <w:footerReference w:type="default" r:id="rId13"/>
          <w:footerReference w:type="even" r:id="rId14"/>
          <w:pgSz w:w="11910" w:h="16840"/>
          <w:pgMar w:footer="779" w:header="0" w:top="1280" w:bottom="960" w:left="460" w:right="440"/>
          <w:pgNumType w:start="1"/>
          <w:cols w:num="2" w:equalWidth="0">
            <w:col w:w="3236" w:space="40"/>
            <w:col w:w="7734"/>
          </w:cols>
        </w:sectPr>
      </w:pPr>
    </w:p>
    <w:p>
      <w:pPr>
        <w:pStyle w:val="BodyText"/>
        <w:rPr>
          <w:b/>
          <w:sz w:val="20"/>
        </w:rPr>
      </w:pPr>
    </w:p>
    <w:p>
      <w:pPr>
        <w:pStyle w:val="BodyText"/>
        <w:spacing w:before="10"/>
        <w:rPr>
          <w:b/>
          <w:sz w:val="29"/>
        </w:rPr>
      </w:pPr>
    </w:p>
    <w:p>
      <w:pPr>
        <w:pStyle w:val="BodyText"/>
        <w:spacing w:line="348" w:lineRule="auto" w:before="100"/>
        <w:ind w:left="3791" w:right="712"/>
      </w:pPr>
      <w:r>
        <w:rPr>
          <w:color w:val="231F20"/>
        </w:rPr>
        <w:t>Marrickville Urban Forest Strategy (MUFS) has been  prepared  by  Parks  and  Reserves, Infrastructure Services. The MUFS is intended to guide the forward planning for the urban forest in Marrickville.</w:t>
      </w:r>
    </w:p>
    <w:p>
      <w:pPr>
        <w:pStyle w:val="BodyText"/>
        <w:spacing w:before="3"/>
        <w:rPr>
          <w:sz w:val="26"/>
        </w:rPr>
      </w:pPr>
    </w:p>
    <w:p>
      <w:pPr>
        <w:pStyle w:val="BodyText"/>
        <w:spacing w:line="348" w:lineRule="auto"/>
        <w:ind w:left="3791" w:right="721"/>
      </w:pPr>
      <w:r>
        <w:rPr>
          <w:color w:val="231F20"/>
        </w:rPr>
        <w:t>The Urban Forest of Marrickville is an essential component of the built environment and a </w:t>
      </w:r>
      <w:r>
        <w:rPr>
          <w:color w:val="231F20"/>
          <w:spacing w:val="1"/>
        </w:rPr>
        <w:t>legacy        </w:t>
      </w:r>
      <w:r>
        <w:rPr>
          <w:color w:val="231F20"/>
        </w:rPr>
        <w:t>for future generations. As living organisms in altered physical conditions trees need appropriate management to maximise their benefit to the community and the environment. Adequate resources must</w:t>
      </w:r>
      <w:r>
        <w:rPr>
          <w:color w:val="231F20"/>
          <w:spacing w:val="7"/>
        </w:rPr>
        <w:t> </w:t>
      </w:r>
      <w:r>
        <w:rPr>
          <w:color w:val="231F20"/>
        </w:rPr>
        <w:t>be</w:t>
      </w:r>
      <w:r>
        <w:rPr>
          <w:color w:val="231F20"/>
          <w:spacing w:val="7"/>
        </w:rPr>
        <w:t> </w:t>
      </w:r>
      <w:r>
        <w:rPr>
          <w:color w:val="231F20"/>
        </w:rPr>
        <w:t>allocated</w:t>
      </w:r>
      <w:r>
        <w:rPr>
          <w:color w:val="231F20"/>
          <w:spacing w:val="7"/>
        </w:rPr>
        <w:t> </w:t>
      </w:r>
      <w:r>
        <w:rPr>
          <w:color w:val="231F20"/>
        </w:rPr>
        <w:t>to</w:t>
      </w:r>
      <w:r>
        <w:rPr>
          <w:color w:val="231F20"/>
          <w:spacing w:val="7"/>
        </w:rPr>
        <w:t> </w:t>
      </w:r>
      <w:r>
        <w:rPr>
          <w:color w:val="231F20"/>
        </w:rPr>
        <w:t>ensure</w:t>
      </w:r>
      <w:r>
        <w:rPr>
          <w:color w:val="231F20"/>
          <w:spacing w:val="7"/>
        </w:rPr>
        <w:t> </w:t>
      </w:r>
      <w:r>
        <w:rPr>
          <w:color w:val="231F20"/>
        </w:rPr>
        <w:t>trees</w:t>
      </w:r>
      <w:r>
        <w:rPr>
          <w:color w:val="231F20"/>
          <w:spacing w:val="7"/>
        </w:rPr>
        <w:t> </w:t>
      </w:r>
      <w:r>
        <w:rPr>
          <w:color w:val="231F20"/>
        </w:rPr>
        <w:t>are</w:t>
      </w:r>
      <w:r>
        <w:rPr>
          <w:color w:val="231F20"/>
          <w:spacing w:val="7"/>
        </w:rPr>
        <w:t> </w:t>
      </w:r>
      <w:r>
        <w:rPr>
          <w:color w:val="231F20"/>
        </w:rPr>
        <w:t>well</w:t>
      </w:r>
      <w:r>
        <w:rPr>
          <w:color w:val="231F20"/>
          <w:spacing w:val="7"/>
        </w:rPr>
        <w:t> </w:t>
      </w:r>
      <w:r>
        <w:rPr>
          <w:color w:val="231F20"/>
        </w:rPr>
        <w:t>managed.</w:t>
      </w:r>
    </w:p>
    <w:p>
      <w:pPr>
        <w:pStyle w:val="BodyText"/>
        <w:spacing w:before="4"/>
        <w:rPr>
          <w:sz w:val="26"/>
        </w:rPr>
      </w:pPr>
    </w:p>
    <w:p>
      <w:pPr>
        <w:pStyle w:val="BodyText"/>
        <w:spacing w:line="348" w:lineRule="auto"/>
        <w:ind w:left="3791" w:right="712"/>
      </w:pPr>
      <w:r>
        <w:rPr>
          <w:color w:val="231F20"/>
        </w:rPr>
        <w:t>Initial Community and Council consultation was  conducted  for  the  preliminary  2007  </w:t>
      </w:r>
      <w:r>
        <w:rPr>
          <w:color w:val="231F20"/>
          <w:spacing w:val="1"/>
        </w:rPr>
        <w:t>issues </w:t>
      </w:r>
      <w:r>
        <w:rPr>
          <w:color w:val="231F20"/>
        </w:rPr>
        <w:t>paper.</w:t>
      </w:r>
      <w:r>
        <w:rPr>
          <w:color w:val="231F20"/>
          <w:spacing w:val="21"/>
        </w:rPr>
        <w:t> </w:t>
      </w:r>
      <w:r>
        <w:rPr>
          <w:color w:val="231F20"/>
        </w:rPr>
        <w:t>Recently,</w:t>
      </w:r>
      <w:r>
        <w:rPr>
          <w:color w:val="231F20"/>
          <w:spacing w:val="21"/>
        </w:rPr>
        <w:t> </w:t>
      </w:r>
      <w:r>
        <w:rPr>
          <w:color w:val="231F20"/>
        </w:rPr>
        <w:t>internal</w:t>
      </w:r>
      <w:r>
        <w:rPr>
          <w:color w:val="231F20"/>
          <w:spacing w:val="21"/>
        </w:rPr>
        <w:t> </w:t>
      </w:r>
      <w:r>
        <w:rPr>
          <w:color w:val="231F20"/>
        </w:rPr>
        <w:t>discussions</w:t>
      </w:r>
      <w:r>
        <w:rPr>
          <w:color w:val="231F20"/>
          <w:spacing w:val="21"/>
        </w:rPr>
        <w:t> </w:t>
      </w:r>
      <w:r>
        <w:rPr>
          <w:color w:val="231F20"/>
        </w:rPr>
        <w:t>have</w:t>
      </w:r>
      <w:r>
        <w:rPr>
          <w:color w:val="231F20"/>
          <w:spacing w:val="21"/>
        </w:rPr>
        <w:t> </w:t>
      </w:r>
      <w:r>
        <w:rPr>
          <w:color w:val="231F20"/>
        </w:rPr>
        <w:t>been</w:t>
      </w:r>
      <w:r>
        <w:rPr>
          <w:color w:val="231F20"/>
          <w:spacing w:val="21"/>
        </w:rPr>
        <w:t> </w:t>
      </w:r>
      <w:r>
        <w:rPr>
          <w:color w:val="231F20"/>
        </w:rPr>
        <w:t>conducted</w:t>
      </w:r>
      <w:r>
        <w:rPr>
          <w:color w:val="231F20"/>
          <w:spacing w:val="21"/>
        </w:rPr>
        <w:t> </w:t>
      </w:r>
      <w:r>
        <w:rPr>
          <w:color w:val="231F20"/>
        </w:rPr>
        <w:t>with</w:t>
      </w:r>
      <w:r>
        <w:rPr>
          <w:color w:val="231F20"/>
          <w:spacing w:val="21"/>
        </w:rPr>
        <w:t> </w:t>
      </w:r>
      <w:r>
        <w:rPr>
          <w:color w:val="231F20"/>
        </w:rPr>
        <w:t>other</w:t>
      </w:r>
      <w:r>
        <w:rPr>
          <w:color w:val="231F20"/>
          <w:spacing w:val="21"/>
        </w:rPr>
        <w:t> </w:t>
      </w:r>
      <w:r>
        <w:rPr>
          <w:color w:val="231F20"/>
        </w:rPr>
        <w:t>Council</w:t>
      </w:r>
      <w:r>
        <w:rPr>
          <w:color w:val="231F20"/>
          <w:spacing w:val="21"/>
        </w:rPr>
        <w:t> </w:t>
      </w:r>
      <w:r>
        <w:rPr>
          <w:color w:val="231F20"/>
        </w:rPr>
        <w:t>Divisions,</w:t>
      </w:r>
      <w:r>
        <w:rPr>
          <w:color w:val="231F20"/>
          <w:spacing w:val="21"/>
        </w:rPr>
        <w:t> </w:t>
      </w:r>
      <w:r>
        <w:rPr>
          <w:color w:val="231F20"/>
          <w:spacing w:val="1"/>
        </w:rPr>
        <w:t>Senior</w:t>
      </w:r>
    </w:p>
    <w:p>
      <w:pPr>
        <w:pStyle w:val="BodyText"/>
        <w:spacing w:line="348" w:lineRule="auto" w:before="1"/>
        <w:ind w:left="3791" w:right="712"/>
      </w:pPr>
      <w:r>
        <w:rPr>
          <w:color w:val="231F20"/>
        </w:rPr>
        <w:t>Management and Councillors to co-ordinate with Council’s overarching Draft Community Strategic  Plan (CSP)</w:t>
      </w:r>
      <w:r>
        <w:rPr>
          <w:color w:val="231F20"/>
          <w:spacing w:val="13"/>
        </w:rPr>
        <w:t> </w:t>
      </w:r>
      <w:r>
        <w:rPr>
          <w:color w:val="231F20"/>
        </w:rPr>
        <w:t>2010.</w:t>
      </w:r>
    </w:p>
    <w:p>
      <w:pPr>
        <w:pStyle w:val="BodyText"/>
        <w:spacing w:before="3"/>
        <w:rPr>
          <w:sz w:val="26"/>
        </w:rPr>
      </w:pPr>
    </w:p>
    <w:p>
      <w:pPr>
        <w:pStyle w:val="BodyText"/>
        <w:spacing w:line="348" w:lineRule="auto"/>
        <w:ind w:left="3791" w:right="712"/>
      </w:pPr>
      <w:r>
        <w:rPr>
          <w:color w:val="231F20"/>
        </w:rPr>
        <w:t>Council’s tree policies are currently in a state of flux  as  earlier  strategies  were  only  partially achieved. The objective of the Marrickville Urban Forest Strategy is to redefine, from today’s perspective, an achievable vision for Marrickville’s Urban Forest. The strategy will determine </w:t>
      </w:r>
      <w:r>
        <w:rPr>
          <w:color w:val="231F20"/>
          <w:spacing w:val="1"/>
        </w:rPr>
        <w:t>future </w:t>
      </w:r>
      <w:r>
        <w:rPr>
          <w:color w:val="231F20"/>
        </w:rPr>
        <w:t>direction and actions to guide Council until 2016. The strategy will be formatted to enable </w:t>
      </w:r>
      <w:r>
        <w:rPr>
          <w:color w:val="231F20"/>
          <w:spacing w:val="1"/>
        </w:rPr>
        <w:t>review    </w:t>
      </w:r>
      <w:r>
        <w:rPr>
          <w:color w:val="231F20"/>
        </w:rPr>
        <w:t>every 5</w:t>
      </w:r>
      <w:r>
        <w:rPr>
          <w:color w:val="231F20"/>
          <w:spacing w:val="13"/>
        </w:rPr>
        <w:t> </w:t>
      </w:r>
      <w:r>
        <w:rPr>
          <w:color w:val="231F20"/>
          <w:spacing w:val="1"/>
        </w:rPr>
        <w:t>years.</w:t>
      </w:r>
    </w:p>
    <w:p>
      <w:pPr>
        <w:pStyle w:val="BodyText"/>
        <w:spacing w:before="7"/>
        <w:rPr>
          <w:sz w:val="17"/>
        </w:rPr>
      </w:pPr>
    </w:p>
    <w:p>
      <w:pPr>
        <w:spacing w:after="0"/>
        <w:rPr>
          <w:sz w:val="17"/>
        </w:rPr>
        <w:sectPr>
          <w:type w:val="continuous"/>
          <w:pgSz w:w="11910" w:h="16840"/>
          <w:pgMar w:top="1360" w:bottom="280" w:left="460" w:right="440"/>
        </w:sectPr>
      </w:pPr>
    </w:p>
    <w:p>
      <w:pPr>
        <w:pStyle w:val="BodyText"/>
        <w:rPr>
          <w:sz w:val="16"/>
        </w:rPr>
      </w:pPr>
      <w:r>
        <w:rPr/>
        <w:pict>
          <v:group style="position:absolute;margin-left:22.676901pt;margin-top:28.346714pt;width:530.1pt;height:771.05pt;mso-position-horizontal-relative:page;mso-position-vertical-relative:page;z-index:-95704" coordorigin="454,567" coordsize="10602,15421">
            <v:line style="position:absolute" from="3976,567" to="3976,15987" stroked="true" strokeweight=".25pt" strokecolor="#808285">
              <v:stroke dashstyle="solid"/>
            </v:line>
            <v:line style="position:absolute" from="11055,2059" to="454,2059" stroked="true" strokeweight=".25pt" strokecolor="#808285">
              <v:stroke dashstyle="solid"/>
            </v:line>
            <v:shape style="position:absolute;left:566;top:2508;width:3119;height:6300" type="#_x0000_t75" stroked="false">
              <v:imagedata r:id="rId15" o:title=""/>
            </v:shape>
            <w10:wrap type="none"/>
          </v:group>
        </w:pict>
      </w:r>
    </w:p>
    <w:p>
      <w:pPr>
        <w:spacing w:line="268" w:lineRule="auto" w:before="113"/>
        <w:ind w:left="106" w:right="0" w:firstLine="0"/>
        <w:jc w:val="left"/>
        <w:rPr>
          <w:i/>
          <w:sz w:val="14"/>
        </w:rPr>
      </w:pPr>
      <w:r>
        <w:rPr>
          <w:b/>
          <w:i/>
          <w:color w:val="231F20"/>
          <w:sz w:val="14"/>
        </w:rPr>
        <w:t>Figure 1. </w:t>
      </w:r>
      <w:r>
        <w:rPr>
          <w:i/>
          <w:color w:val="231F20"/>
          <w:sz w:val="14"/>
        </w:rPr>
        <w:t>Jacarandas in bloom — Cardigan Street, </w:t>
      </w:r>
      <w:r>
        <w:rPr>
          <w:i/>
          <w:color w:val="231F20"/>
          <w:sz w:val="14"/>
        </w:rPr>
        <w:t>Camperdown</w:t>
      </w:r>
    </w:p>
    <w:p>
      <w:pPr>
        <w:pStyle w:val="BodyText"/>
        <w:spacing w:before="100"/>
        <w:ind w:left="106"/>
      </w:pPr>
      <w:r>
        <w:rPr/>
        <w:br w:type="column"/>
      </w:r>
      <w:r>
        <w:rPr>
          <w:color w:val="231F20"/>
        </w:rPr>
        <w:t>The CSP outlines a strategy in regard to Marrickville’s Urban Forest as follow:</w:t>
      </w:r>
    </w:p>
    <w:p>
      <w:pPr>
        <w:pStyle w:val="BodyText"/>
        <w:spacing w:before="5"/>
        <w:rPr>
          <w:sz w:val="29"/>
        </w:rPr>
      </w:pPr>
    </w:p>
    <w:p>
      <w:pPr>
        <w:pStyle w:val="Heading2"/>
        <w:spacing w:before="0"/>
        <w:ind w:left="106"/>
      </w:pPr>
      <w:r>
        <w:rPr>
          <w:color w:val="231F20"/>
        </w:rPr>
        <w:t>Strategy</w:t>
      </w:r>
    </w:p>
    <w:p>
      <w:pPr>
        <w:pStyle w:val="BodyText"/>
        <w:spacing w:before="2"/>
        <w:rPr>
          <w:b/>
          <w:sz w:val="33"/>
        </w:rPr>
      </w:pPr>
    </w:p>
    <w:p>
      <w:pPr>
        <w:spacing w:before="0"/>
        <w:ind w:left="466" w:right="0" w:firstLine="0"/>
        <w:jc w:val="left"/>
        <w:rPr>
          <w:b/>
          <w:i/>
          <w:sz w:val="18"/>
        </w:rPr>
      </w:pPr>
      <w:r>
        <w:rPr>
          <w:b/>
          <w:i/>
          <w:color w:val="231F20"/>
          <w:sz w:val="18"/>
        </w:rPr>
        <w:t>Increase the urban tree canopy through new and replacement tree planting.</w:t>
      </w:r>
    </w:p>
    <w:p>
      <w:pPr>
        <w:pStyle w:val="BodyText"/>
        <w:rPr>
          <w:b/>
          <w:i/>
          <w:sz w:val="20"/>
        </w:rPr>
      </w:pPr>
    </w:p>
    <w:p>
      <w:pPr>
        <w:pStyle w:val="BodyText"/>
        <w:spacing w:line="348" w:lineRule="auto" w:before="164"/>
        <w:ind w:left="106" w:right="785"/>
      </w:pPr>
      <w:r>
        <w:rPr>
          <w:color w:val="231F20"/>
        </w:rPr>
        <w:t>The MUFS is being submitted for endorsement by Council in 2010, the final title could be Marrickville Urban Forest Strategy 2011-2016, as this would provide a natural mechanism for review at the appropriate time.</w:t>
      </w:r>
    </w:p>
    <w:p>
      <w:pPr>
        <w:pStyle w:val="BodyText"/>
        <w:spacing w:before="4"/>
        <w:rPr>
          <w:sz w:val="21"/>
        </w:rPr>
      </w:pPr>
    </w:p>
    <w:p>
      <w:pPr>
        <w:pStyle w:val="Heading2"/>
        <w:spacing w:before="0"/>
        <w:ind w:left="106"/>
      </w:pPr>
      <w:r>
        <w:rPr>
          <w:color w:val="231F20"/>
        </w:rPr>
        <w:t>Urban Forest Policy</w:t>
      </w:r>
    </w:p>
    <w:p>
      <w:pPr>
        <w:pStyle w:val="BodyText"/>
        <w:spacing w:before="2"/>
        <w:rPr>
          <w:b/>
          <w:sz w:val="33"/>
        </w:rPr>
      </w:pPr>
    </w:p>
    <w:p>
      <w:pPr>
        <w:pStyle w:val="BodyText"/>
        <w:spacing w:line="348" w:lineRule="auto"/>
        <w:ind w:left="106" w:right="785"/>
      </w:pPr>
      <w:r>
        <w:rPr>
          <w:color w:val="231F20"/>
        </w:rPr>
        <w:t>Council has revised and consolidated its tree policies into a single Urban Forest Policy that sets    the</w:t>
      </w:r>
      <w:r>
        <w:rPr>
          <w:color w:val="231F20"/>
          <w:spacing w:val="7"/>
        </w:rPr>
        <w:t> </w:t>
      </w:r>
      <w:r>
        <w:rPr>
          <w:color w:val="231F20"/>
        </w:rPr>
        <w:t>agenda</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actions</w:t>
      </w:r>
      <w:r>
        <w:rPr>
          <w:color w:val="231F20"/>
          <w:spacing w:val="7"/>
        </w:rPr>
        <w:t> </w:t>
      </w:r>
      <w:r>
        <w:rPr>
          <w:color w:val="231F20"/>
        </w:rPr>
        <w:t>needed</w:t>
      </w:r>
      <w:r>
        <w:rPr>
          <w:color w:val="231F20"/>
          <w:spacing w:val="7"/>
        </w:rPr>
        <w:t> </w:t>
      </w:r>
      <w:r>
        <w:rPr>
          <w:color w:val="231F20"/>
        </w:rPr>
        <w:t>to</w:t>
      </w:r>
      <w:r>
        <w:rPr>
          <w:color w:val="231F20"/>
          <w:spacing w:val="7"/>
        </w:rPr>
        <w:t> </w:t>
      </w:r>
      <w:r>
        <w:rPr>
          <w:color w:val="231F20"/>
        </w:rPr>
        <w:t>realise</w:t>
      </w:r>
      <w:r>
        <w:rPr>
          <w:color w:val="231F20"/>
          <w:spacing w:val="7"/>
        </w:rPr>
        <w:t> </w:t>
      </w:r>
      <w:r>
        <w:rPr>
          <w:color w:val="231F20"/>
        </w:rPr>
        <w:t>the</w:t>
      </w:r>
      <w:r>
        <w:rPr>
          <w:color w:val="231F20"/>
          <w:spacing w:val="7"/>
        </w:rPr>
        <w:t> </w:t>
      </w:r>
      <w:r>
        <w:rPr>
          <w:color w:val="231F20"/>
        </w:rPr>
        <w:t>strategy.</w:t>
      </w:r>
    </w:p>
    <w:p>
      <w:pPr>
        <w:pStyle w:val="BodyText"/>
        <w:spacing w:before="4"/>
        <w:rPr>
          <w:sz w:val="21"/>
        </w:rPr>
      </w:pPr>
    </w:p>
    <w:p>
      <w:pPr>
        <w:pStyle w:val="Heading2"/>
        <w:spacing w:before="0"/>
        <w:ind w:left="106"/>
      </w:pPr>
      <w:r>
        <w:rPr>
          <w:color w:val="231F20"/>
        </w:rPr>
        <w:t>ACTIONS</w:t>
      </w:r>
    </w:p>
    <w:p>
      <w:pPr>
        <w:pStyle w:val="BodyText"/>
        <w:spacing w:before="2"/>
        <w:rPr>
          <w:b/>
          <w:sz w:val="33"/>
        </w:rPr>
      </w:pPr>
    </w:p>
    <w:p>
      <w:pPr>
        <w:pStyle w:val="Heading5"/>
        <w:ind w:left="106"/>
      </w:pPr>
      <w:r>
        <w:rPr>
          <w:color w:val="231F20"/>
        </w:rPr>
        <w:t>Action 1 —Identification, Evaluation and Monitoring of the Urban Forest</w:t>
      </w:r>
    </w:p>
    <w:p>
      <w:pPr>
        <w:pStyle w:val="BodyText"/>
        <w:spacing w:line="348" w:lineRule="auto" w:before="94"/>
        <w:ind w:left="106" w:right="605"/>
      </w:pPr>
      <w:r>
        <w:rPr>
          <w:color w:val="231F20"/>
        </w:rPr>
        <w:t>The first step towards managing an asset is the establishment and maintenance of an accurate inventory of that asset. Therefore the strategy looks to develop a “live” asset inventory for all of </w:t>
      </w:r>
      <w:r>
        <w:rPr>
          <w:color w:val="231F20"/>
          <w:spacing w:val="1"/>
        </w:rPr>
        <w:t>the </w:t>
      </w:r>
      <w:r>
        <w:rPr>
          <w:color w:val="231F20"/>
        </w:rPr>
        <w:t>Public Tree Assets on Council land and an overview of the percentage canopy cover of the urban   forest</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whole</w:t>
      </w:r>
      <w:r>
        <w:rPr>
          <w:color w:val="231F20"/>
          <w:spacing w:val="7"/>
        </w:rPr>
        <w:t> </w:t>
      </w:r>
      <w:r>
        <w:rPr>
          <w:color w:val="231F20"/>
        </w:rPr>
        <w:t>across</w:t>
      </w:r>
      <w:r>
        <w:rPr>
          <w:color w:val="231F20"/>
          <w:spacing w:val="7"/>
        </w:rPr>
        <w:t> </w:t>
      </w:r>
      <w:r>
        <w:rPr>
          <w:color w:val="231F20"/>
        </w:rPr>
        <w:t>the</w:t>
      </w:r>
      <w:r>
        <w:rPr>
          <w:color w:val="231F20"/>
          <w:spacing w:val="7"/>
        </w:rPr>
        <w:t> </w:t>
      </w:r>
      <w:r>
        <w:rPr>
          <w:color w:val="231F20"/>
        </w:rPr>
        <w:t>LGA (both</w:t>
      </w:r>
      <w:r>
        <w:rPr>
          <w:color w:val="231F20"/>
          <w:spacing w:val="7"/>
        </w:rPr>
        <w:t> </w:t>
      </w:r>
      <w:r>
        <w:rPr>
          <w:color w:val="231F20"/>
        </w:rPr>
        <w:t>public</w:t>
      </w:r>
      <w:r>
        <w:rPr>
          <w:color w:val="231F20"/>
          <w:spacing w:val="7"/>
        </w:rPr>
        <w:t> </w:t>
      </w:r>
      <w:r>
        <w:rPr>
          <w:color w:val="231F20"/>
        </w:rPr>
        <w:t>and</w:t>
      </w:r>
      <w:r>
        <w:rPr>
          <w:color w:val="231F20"/>
          <w:spacing w:val="7"/>
        </w:rPr>
        <w:t> </w:t>
      </w:r>
      <w:r>
        <w:rPr>
          <w:color w:val="231F20"/>
        </w:rPr>
        <w:t>private).</w:t>
      </w:r>
    </w:p>
    <w:p>
      <w:pPr>
        <w:spacing w:after="0" w:line="348" w:lineRule="auto"/>
        <w:sectPr>
          <w:type w:val="continuous"/>
          <w:pgSz w:w="11910" w:h="16840"/>
          <w:pgMar w:top="1360" w:bottom="280" w:left="460" w:right="440"/>
          <w:cols w:num="2" w:equalWidth="0">
            <w:col w:w="2866" w:space="819"/>
            <w:col w:w="7325"/>
          </w:cols>
        </w:sectPr>
      </w:pPr>
    </w:p>
    <w:p>
      <w:pPr>
        <w:spacing w:before="86"/>
        <w:ind w:left="0" w:right="966" w:firstLine="0"/>
        <w:jc w:val="right"/>
        <w:rPr>
          <w:i/>
          <w:sz w:val="24"/>
        </w:rPr>
      </w:pPr>
      <w:r>
        <w:rPr/>
        <w:pict>
          <v:group style="position:absolute;margin-left:42.5201pt;margin-top:28.346714pt;width:524.450pt;height:771.05pt;mso-position-horizontal-relative:page;mso-position-vertical-relative:page;z-index:-95680" coordorigin="850,567" coordsize="10489,15421">
            <v:line style="position:absolute" from="7942,567" to="7942,15987" stroked="true" strokeweight=".25pt" strokecolor="#808285">
              <v:stroke dashstyle="solid"/>
            </v:line>
            <v:line style="position:absolute" from="11339,2059" to="850,2059" stroked="true" strokeweight=".25pt" strokecolor="#808285">
              <v:stroke dashstyle="solid"/>
            </v:line>
            <w10:wrap type="none"/>
          </v:group>
        </w:pict>
      </w:r>
      <w:r>
        <w:rPr>
          <w:i/>
          <w:color w:val="231F20"/>
          <w:sz w:val="24"/>
        </w:rPr>
        <w:t>Marrickville Council</w:t>
      </w:r>
    </w:p>
    <w:p>
      <w:pPr>
        <w:spacing w:before="25"/>
        <w:ind w:left="0" w:right="964" w:firstLine="0"/>
        <w:jc w:val="right"/>
        <w:rPr>
          <w:b/>
          <w:i/>
          <w:sz w:val="24"/>
        </w:rPr>
      </w:pPr>
      <w:r>
        <w:rPr>
          <w:b/>
          <w:i/>
          <w:color w:val="231F20"/>
          <w:sz w:val="24"/>
        </w:rPr>
        <w:t>Urban  Forest Strategy</w:t>
      </w:r>
    </w:p>
    <w:p>
      <w:pPr>
        <w:pStyle w:val="BodyText"/>
        <w:rPr>
          <w:b/>
          <w:i/>
          <w:sz w:val="20"/>
        </w:rPr>
      </w:pPr>
    </w:p>
    <w:p>
      <w:pPr>
        <w:pStyle w:val="BodyText"/>
        <w:rPr>
          <w:b/>
          <w:i/>
          <w:sz w:val="20"/>
        </w:rPr>
      </w:pPr>
    </w:p>
    <w:p>
      <w:pPr>
        <w:pStyle w:val="BodyText"/>
        <w:spacing w:before="3"/>
        <w:rPr>
          <w:b/>
          <w:i/>
          <w:sz w:val="19"/>
        </w:rPr>
      </w:pPr>
    </w:p>
    <w:p>
      <w:pPr>
        <w:pStyle w:val="Heading5"/>
      </w:pPr>
      <w:r>
        <w:rPr>
          <w:color w:val="231F20"/>
        </w:rPr>
        <w:t>Action 2 — Increase Marrickville’s Urban Forest Canopy</w:t>
      </w:r>
    </w:p>
    <w:p>
      <w:pPr>
        <w:pStyle w:val="BodyText"/>
        <w:spacing w:line="348" w:lineRule="auto" w:before="94"/>
        <w:ind w:left="390" w:right="4087"/>
      </w:pPr>
      <w:r>
        <w:rPr>
          <w:color w:val="231F20"/>
        </w:rPr>
        <w:t>Council’s primary objective is to increase Marrickville’s urban forest. This action identifies mechanisms to maintain and increase the public tree asset and promote the increase of canopy cover (planting of trees) on private land.</w:t>
      </w:r>
    </w:p>
    <w:p>
      <w:pPr>
        <w:pStyle w:val="BodyText"/>
        <w:spacing w:before="3"/>
        <w:rPr>
          <w:sz w:val="26"/>
        </w:rPr>
      </w:pPr>
    </w:p>
    <w:p>
      <w:pPr>
        <w:pStyle w:val="Heading5"/>
      </w:pPr>
      <w:r>
        <w:rPr>
          <w:color w:val="231F20"/>
        </w:rPr>
        <w:t>Action 3 — Undertake Whole of Life Management</w:t>
      </w:r>
    </w:p>
    <w:p>
      <w:pPr>
        <w:pStyle w:val="BodyText"/>
        <w:spacing w:line="348" w:lineRule="auto" w:before="93"/>
        <w:ind w:left="390" w:right="4087"/>
      </w:pPr>
      <w:r>
        <w:rPr>
          <w:color w:val="231F20"/>
        </w:rPr>
        <w:t>To ensure the optimum useful life span of Marrickville’s new and existing public trees, this action promotes a whole of life management approach to the Public Tree Asset including prioritised management regimes for nominated items such as significant trees.</w:t>
      </w:r>
    </w:p>
    <w:p>
      <w:pPr>
        <w:pStyle w:val="BodyText"/>
        <w:spacing w:before="3"/>
        <w:rPr>
          <w:sz w:val="26"/>
        </w:rPr>
      </w:pPr>
    </w:p>
    <w:p>
      <w:pPr>
        <w:pStyle w:val="Heading5"/>
      </w:pPr>
      <w:r>
        <w:rPr>
          <w:color w:val="231F20"/>
        </w:rPr>
        <w:t>Action 4 — Involve and Engage the Community in Tree Management</w:t>
      </w:r>
    </w:p>
    <w:p>
      <w:pPr>
        <w:pStyle w:val="BodyText"/>
        <w:spacing w:line="348" w:lineRule="auto" w:before="94"/>
        <w:ind w:left="390" w:right="4087"/>
      </w:pPr>
      <w:r>
        <w:rPr>
          <w:color w:val="231F20"/>
        </w:rPr>
        <w:t>The successful implementation of Marrickville's vision  for  the  urban  forest  needs  community support. </w:t>
      </w:r>
      <w:r>
        <w:rPr>
          <w:color w:val="231F20"/>
          <w:spacing w:val="-7"/>
        </w:rPr>
        <w:t>To </w:t>
      </w:r>
      <w:r>
        <w:rPr>
          <w:color w:val="231F20"/>
        </w:rPr>
        <w:t>encourage and focus this support Council will seek to educate the community as to </w:t>
      </w:r>
      <w:r>
        <w:rPr>
          <w:color w:val="231F20"/>
          <w:spacing w:val="1"/>
        </w:rPr>
        <w:t>the </w:t>
      </w:r>
      <w:r>
        <w:rPr>
          <w:color w:val="231F20"/>
        </w:rPr>
        <w:t>benefits of the urban forest, and how to best increase and maintain the urban forest. Council will      also</w:t>
      </w:r>
      <w:r>
        <w:rPr>
          <w:color w:val="231F20"/>
          <w:spacing w:val="10"/>
        </w:rPr>
        <w:t> </w:t>
      </w:r>
      <w:r>
        <w:rPr>
          <w:color w:val="231F20"/>
        </w:rPr>
        <w:t>aim</w:t>
      </w:r>
      <w:r>
        <w:rPr>
          <w:color w:val="231F20"/>
          <w:spacing w:val="10"/>
        </w:rPr>
        <w:t> </w:t>
      </w:r>
      <w:r>
        <w:rPr>
          <w:color w:val="231F20"/>
        </w:rPr>
        <w:t>involve</w:t>
      </w:r>
      <w:r>
        <w:rPr>
          <w:color w:val="231F20"/>
          <w:spacing w:val="10"/>
        </w:rPr>
        <w:t> </w:t>
      </w:r>
      <w:r>
        <w:rPr>
          <w:color w:val="231F20"/>
        </w:rPr>
        <w:t>the</w:t>
      </w:r>
      <w:r>
        <w:rPr>
          <w:color w:val="231F20"/>
          <w:spacing w:val="10"/>
        </w:rPr>
        <w:t> </w:t>
      </w:r>
      <w:r>
        <w:rPr>
          <w:color w:val="231F20"/>
        </w:rPr>
        <w:t>community</w:t>
      </w:r>
      <w:r>
        <w:rPr>
          <w:color w:val="231F20"/>
          <w:spacing w:val="10"/>
        </w:rPr>
        <w:t> </w:t>
      </w:r>
      <w:r>
        <w:rPr>
          <w:color w:val="231F20"/>
        </w:rPr>
        <w:t>in</w:t>
      </w:r>
      <w:r>
        <w:rPr>
          <w:color w:val="231F20"/>
          <w:spacing w:val="10"/>
        </w:rPr>
        <w:t> </w:t>
      </w:r>
      <w:r>
        <w:rPr>
          <w:color w:val="231F20"/>
        </w:rPr>
        <w:t>decision</w:t>
      </w:r>
      <w:r>
        <w:rPr>
          <w:color w:val="231F20"/>
          <w:spacing w:val="10"/>
        </w:rPr>
        <w:t> </w:t>
      </w:r>
      <w:r>
        <w:rPr>
          <w:color w:val="231F20"/>
        </w:rPr>
        <w:t>making</w:t>
      </w:r>
      <w:r>
        <w:rPr>
          <w:color w:val="231F20"/>
          <w:spacing w:val="10"/>
        </w:rPr>
        <w:t> </w:t>
      </w:r>
      <w:r>
        <w:rPr>
          <w:color w:val="231F20"/>
        </w:rPr>
        <w:t>and</w:t>
      </w:r>
      <w:r>
        <w:rPr>
          <w:color w:val="231F20"/>
          <w:spacing w:val="10"/>
        </w:rPr>
        <w:t> </w:t>
      </w:r>
      <w:r>
        <w:rPr>
          <w:color w:val="231F20"/>
        </w:rPr>
        <w:t>care</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urban</w:t>
      </w:r>
      <w:r>
        <w:rPr>
          <w:color w:val="231F20"/>
          <w:spacing w:val="10"/>
        </w:rPr>
        <w:t> </w:t>
      </w:r>
      <w:r>
        <w:rPr>
          <w:color w:val="231F20"/>
        </w:rPr>
        <w:t>forest.</w:t>
      </w:r>
    </w:p>
    <w:p>
      <w:pPr>
        <w:pStyle w:val="BodyText"/>
        <w:spacing w:before="3"/>
        <w:rPr>
          <w:sz w:val="26"/>
        </w:rPr>
      </w:pPr>
    </w:p>
    <w:p>
      <w:pPr>
        <w:pStyle w:val="Heading5"/>
        <w:spacing w:before="1"/>
      </w:pPr>
      <w:r>
        <w:rPr>
          <w:color w:val="231F20"/>
        </w:rPr>
        <w:t>Action 5 — Priorities, Resource and Budget for the Urban Forest</w:t>
      </w:r>
    </w:p>
    <w:p>
      <w:pPr>
        <w:pStyle w:val="BodyText"/>
        <w:spacing w:line="348" w:lineRule="auto" w:before="93"/>
        <w:ind w:left="390" w:right="4087"/>
      </w:pPr>
      <w:r>
        <w:rPr>
          <w:color w:val="231F20"/>
        </w:rPr>
        <w:t>Council will set priorities, resourcing options and budgets to implement the MUFS to realise the vision.</w:t>
      </w:r>
    </w:p>
    <w:p>
      <w:pPr>
        <w:pStyle w:val="BodyText"/>
        <w:spacing w:before="3"/>
        <w:rPr>
          <w:sz w:val="26"/>
        </w:rPr>
      </w:pPr>
    </w:p>
    <w:p>
      <w:pPr>
        <w:pStyle w:val="BodyText"/>
        <w:spacing w:line="348" w:lineRule="auto"/>
        <w:ind w:left="390" w:right="4087"/>
      </w:pPr>
      <w:r>
        <w:rPr>
          <w:color w:val="231F20"/>
        </w:rPr>
        <w:t>Two high priority actions are identified that require substantial budgets and are currently unfunded. These are:</w:t>
      </w:r>
    </w:p>
    <w:p>
      <w:pPr>
        <w:pStyle w:val="BodyText"/>
        <w:spacing w:before="2"/>
        <w:rPr>
          <w:sz w:val="26"/>
        </w:rPr>
      </w:pPr>
    </w:p>
    <w:p>
      <w:pPr>
        <w:pStyle w:val="Heading5"/>
        <w:numPr>
          <w:ilvl w:val="0"/>
          <w:numId w:val="6"/>
        </w:numPr>
        <w:tabs>
          <w:tab w:pos="674" w:val="left" w:leader="none"/>
        </w:tabs>
        <w:spacing w:line="348" w:lineRule="auto" w:before="0" w:after="0"/>
        <w:ind w:left="673" w:right="3918" w:hanging="283"/>
        <w:jc w:val="both"/>
      </w:pPr>
      <w:r>
        <w:rPr>
          <w:color w:val="231F20"/>
        </w:rPr>
        <w:t>Collection of asset condition data on all public trees, the establishment of a public tree asset inventory and identification of the combined public and private urban forest as a percentage canopy over the</w:t>
      </w:r>
      <w:r>
        <w:rPr>
          <w:color w:val="231F20"/>
          <w:spacing w:val="30"/>
        </w:rPr>
        <w:t> </w:t>
      </w:r>
      <w:r>
        <w:rPr>
          <w:color w:val="231F20"/>
        </w:rPr>
        <w:t>LGA.</w:t>
      </w:r>
    </w:p>
    <w:p>
      <w:pPr>
        <w:pStyle w:val="BodyText"/>
        <w:spacing w:before="3"/>
        <w:rPr>
          <w:b/>
          <w:sz w:val="26"/>
        </w:rPr>
      </w:pPr>
    </w:p>
    <w:p>
      <w:pPr>
        <w:pStyle w:val="BodyText"/>
        <w:spacing w:line="348" w:lineRule="auto" w:before="1"/>
        <w:ind w:left="673" w:right="4439"/>
      </w:pPr>
      <w:r>
        <w:rPr>
          <w:color w:val="231F20"/>
        </w:rPr>
        <w:t>This component is of primary importance as it establishes the base line from which the planning and management of the UFS is generated.</w:t>
      </w:r>
    </w:p>
    <w:p>
      <w:pPr>
        <w:pStyle w:val="BodyText"/>
        <w:spacing w:before="2"/>
        <w:rPr>
          <w:sz w:val="26"/>
        </w:rPr>
      </w:pPr>
    </w:p>
    <w:p>
      <w:pPr>
        <w:pStyle w:val="Heading5"/>
        <w:numPr>
          <w:ilvl w:val="0"/>
          <w:numId w:val="6"/>
        </w:numPr>
        <w:tabs>
          <w:tab w:pos="674" w:val="left" w:leader="none"/>
        </w:tabs>
        <w:spacing w:line="240" w:lineRule="auto" w:before="0" w:after="0"/>
        <w:ind w:left="673" w:right="0" w:hanging="283"/>
        <w:jc w:val="left"/>
      </w:pPr>
      <w:r>
        <w:rPr>
          <w:color w:val="231F20"/>
        </w:rPr>
        <w:t>Preparation of a Street Tree Master</w:t>
      </w:r>
      <w:r>
        <w:rPr>
          <w:color w:val="231F20"/>
          <w:spacing w:val="2"/>
        </w:rPr>
        <w:t> </w:t>
      </w:r>
      <w:r>
        <w:rPr>
          <w:color w:val="231F20"/>
        </w:rPr>
        <w:t>Plan.</w:t>
      </w:r>
    </w:p>
    <w:p>
      <w:pPr>
        <w:pStyle w:val="BodyText"/>
        <w:rPr>
          <w:b/>
          <w:sz w:val="20"/>
        </w:rPr>
      </w:pPr>
    </w:p>
    <w:p>
      <w:pPr>
        <w:pStyle w:val="BodyText"/>
        <w:spacing w:line="348" w:lineRule="auto" w:before="164"/>
        <w:ind w:left="673" w:right="3899"/>
      </w:pPr>
      <w:r>
        <w:rPr>
          <w:color w:val="231F20"/>
        </w:rPr>
        <w:t>From the base line of the tree asset inventory the Street Tree Master Plan (STMP) sets out the framework and actions for achieving the MUFS, providing Council with a tool to guide resourcing and formulation of future budgets. It is intended that the STMP would also identify opportunities for increasing the urban forest on State Government &amp; “Not for Profit” Organisation lands. The STMP provides a vehicle for community engagement on the future development of the urban forest.</w:t>
      </w:r>
    </w:p>
    <w:p>
      <w:pPr>
        <w:spacing w:after="0" w:line="348" w:lineRule="auto"/>
        <w:sectPr>
          <w:pgSz w:w="11910" w:h="16840"/>
          <w:pgMar w:header="0" w:footer="779" w:top="1280" w:bottom="960" w:left="460" w:right="440"/>
        </w:sectPr>
      </w:pPr>
    </w:p>
    <w:p>
      <w:pPr>
        <w:pStyle w:val="BodyText"/>
        <w:rPr>
          <w:sz w:val="20"/>
        </w:rPr>
      </w:pPr>
    </w:p>
    <w:p>
      <w:pPr>
        <w:spacing w:after="0"/>
        <w:rPr>
          <w:sz w:val="20"/>
        </w:rPr>
        <w:sectPr>
          <w:pgSz w:w="11910" w:h="16840"/>
          <w:pgMar w:header="0" w:footer="779" w:top="920" w:bottom="960" w:left="460" w:right="440"/>
        </w:sectPr>
      </w:pPr>
    </w:p>
    <w:p>
      <w:pPr>
        <w:spacing w:before="216"/>
        <w:ind w:left="1347" w:right="0" w:firstLine="0"/>
        <w:jc w:val="left"/>
        <w:rPr>
          <w:i/>
          <w:sz w:val="24"/>
        </w:rPr>
      </w:pPr>
      <w:r>
        <w:rPr/>
        <w:pict>
          <v:shape style="position:absolute;margin-left:34.015701pt;margin-top:-7.862083pt;width:21.9pt;height:55.1pt;mso-position-horizontal-relative:page;mso-position-vertical-relative:paragraph;z-index:1312" type="#_x0000_t202" filled="false" stroked="false">
            <v:textbox inset="0,0,0,0">
              <w:txbxContent>
                <w:p>
                  <w:pPr>
                    <w:spacing w:line="1100" w:lineRule="exact" w:before="0"/>
                    <w:ind w:left="0" w:right="0" w:firstLine="0"/>
                    <w:jc w:val="left"/>
                    <w:rPr>
                      <w:b/>
                      <w:sz w:val="96"/>
                    </w:rPr>
                  </w:pPr>
                  <w:r>
                    <w:rPr>
                      <w:b/>
                      <w:color w:val="808285"/>
                      <w:sz w:val="96"/>
                    </w:rPr>
                    <w:t>1</w:t>
                  </w:r>
                </w:p>
              </w:txbxContent>
            </v:textbox>
            <w10:wrap type="none"/>
          </v:shape>
        </w:pict>
      </w:r>
      <w:r>
        <w:rPr>
          <w:i/>
          <w:color w:val="231F20"/>
          <w:sz w:val="24"/>
        </w:rPr>
        <w:t>Marrickville Council</w:t>
      </w:r>
    </w:p>
    <w:p>
      <w:pPr>
        <w:spacing w:before="25"/>
        <w:ind w:left="966" w:right="0" w:firstLine="0"/>
        <w:jc w:val="left"/>
        <w:rPr>
          <w:b/>
          <w:i/>
          <w:sz w:val="24"/>
        </w:rPr>
      </w:pPr>
      <w:r>
        <w:rPr>
          <w:b/>
          <w:i/>
          <w:color w:val="231F20"/>
          <w:sz w:val="24"/>
        </w:rPr>
        <w:t>Urban  Forest Strategy</w:t>
      </w:r>
    </w:p>
    <w:p>
      <w:pPr>
        <w:pStyle w:val="BodyText"/>
        <w:spacing w:before="8"/>
        <w:rPr>
          <w:b/>
          <w:i/>
          <w:sz w:val="41"/>
        </w:rPr>
      </w:pPr>
      <w:r>
        <w:rPr/>
        <w:br w:type="column"/>
      </w:r>
      <w:r>
        <w:rPr>
          <w:b/>
          <w:i/>
          <w:sz w:val="41"/>
        </w:rPr>
      </w:r>
    </w:p>
    <w:p>
      <w:pPr>
        <w:pStyle w:val="Heading1"/>
        <w:numPr>
          <w:ilvl w:val="0"/>
          <w:numId w:val="7"/>
        </w:numPr>
        <w:tabs>
          <w:tab w:pos="570" w:val="left" w:leader="none"/>
        </w:tabs>
        <w:spacing w:line="240" w:lineRule="auto" w:before="0" w:after="0"/>
        <w:ind w:left="569" w:right="0" w:hanging="299"/>
        <w:jc w:val="left"/>
      </w:pPr>
      <w:bookmarkStart w:name="_TOC_250002" w:id="2"/>
      <w:bookmarkEnd w:id="2"/>
      <w:r>
        <w:rPr>
          <w:color w:val="231F20"/>
          <w:spacing w:val="5"/>
        </w:rPr>
        <w:t>INTRODUCTION</w:t>
      </w:r>
    </w:p>
    <w:p>
      <w:pPr>
        <w:pStyle w:val="BodyText"/>
        <w:rPr>
          <w:b/>
          <w:sz w:val="32"/>
        </w:rPr>
      </w:pPr>
    </w:p>
    <w:p>
      <w:pPr>
        <w:pStyle w:val="BodyText"/>
        <w:spacing w:before="7"/>
        <w:rPr>
          <w:b/>
          <w:sz w:val="26"/>
        </w:rPr>
      </w:pPr>
    </w:p>
    <w:p>
      <w:pPr>
        <w:pStyle w:val="BodyText"/>
        <w:spacing w:line="348" w:lineRule="auto"/>
        <w:ind w:left="293" w:right="564" w:hanging="4"/>
      </w:pPr>
      <w:r>
        <w:rPr>
          <w:color w:val="231F20"/>
        </w:rPr>
        <w:t>Attractive trees in the urban landscape make a significant contribution to the quality of life of </w:t>
      </w:r>
      <w:r>
        <w:rPr>
          <w:color w:val="231F20"/>
          <w:spacing w:val="1"/>
        </w:rPr>
        <w:t>its </w:t>
      </w:r>
      <w:r>
        <w:rPr>
          <w:color w:val="231F20"/>
        </w:rPr>
        <w:t>inhabitants. On the broad-scale trees contribute to the urban environment aesthetic and improved environmental conditions, on the micro-scale trees provide  screening,  privacy,  interest,  </w:t>
      </w:r>
      <w:r>
        <w:rPr>
          <w:color w:val="231F20"/>
          <w:spacing w:val="1"/>
        </w:rPr>
        <w:t>shade, </w:t>
      </w:r>
      <w:r>
        <w:rPr>
          <w:color w:val="231F20"/>
        </w:rPr>
        <w:t>traffic calming and</w:t>
      </w:r>
      <w:r>
        <w:rPr>
          <w:color w:val="231F20"/>
          <w:spacing w:val="21"/>
        </w:rPr>
        <w:t> </w:t>
      </w:r>
      <w:r>
        <w:rPr>
          <w:color w:val="231F20"/>
        </w:rPr>
        <w:t>habitat.</w:t>
      </w:r>
    </w:p>
    <w:p>
      <w:pPr>
        <w:pStyle w:val="BodyText"/>
        <w:spacing w:before="4"/>
        <w:rPr>
          <w:sz w:val="26"/>
        </w:rPr>
      </w:pPr>
    </w:p>
    <w:p>
      <w:pPr>
        <w:pStyle w:val="BodyText"/>
        <w:spacing w:line="348" w:lineRule="auto"/>
        <w:ind w:left="290" w:right="564" w:firstLine="5"/>
      </w:pPr>
      <w:r>
        <w:rPr>
          <w:color w:val="231F20"/>
        </w:rPr>
        <w:t>Urban trees combine to form the urban forest which has been defined in Local Government Associations Urban Forest Policy 2003 as</w:t>
      </w:r>
    </w:p>
    <w:p>
      <w:pPr>
        <w:pStyle w:val="BodyText"/>
        <w:spacing w:before="2"/>
        <w:rPr>
          <w:sz w:val="26"/>
        </w:rPr>
      </w:pPr>
    </w:p>
    <w:p>
      <w:pPr>
        <w:spacing w:line="348" w:lineRule="auto" w:before="1"/>
        <w:ind w:left="289" w:right="564" w:hanging="70"/>
        <w:jc w:val="left"/>
        <w:rPr>
          <w:i/>
          <w:sz w:val="18"/>
        </w:rPr>
      </w:pPr>
      <w:r>
        <w:rPr>
          <w:i/>
          <w:color w:val="231F20"/>
          <w:sz w:val="18"/>
        </w:rPr>
        <w:t>“Urban Forest is the totality of trees and shrubs on all public and private land in and around urban    </w:t>
      </w:r>
      <w:r>
        <w:rPr>
          <w:i/>
          <w:color w:val="231F20"/>
          <w:sz w:val="18"/>
        </w:rPr>
        <w:t>areas (including bushland, parkland, gardens and street trees) and is measured as a canopy cover percentage</w:t>
      </w:r>
      <w:r>
        <w:rPr>
          <w:i/>
          <w:color w:val="231F20"/>
          <w:spacing w:val="16"/>
          <w:sz w:val="18"/>
        </w:rPr>
        <w:t> </w:t>
      </w:r>
      <w:r>
        <w:rPr>
          <w:i/>
          <w:color w:val="231F20"/>
          <w:sz w:val="18"/>
        </w:rPr>
        <w:t>of</w:t>
      </w:r>
      <w:r>
        <w:rPr>
          <w:i/>
          <w:color w:val="231F20"/>
          <w:spacing w:val="16"/>
          <w:sz w:val="18"/>
        </w:rPr>
        <w:t> </w:t>
      </w:r>
      <w:r>
        <w:rPr>
          <w:i/>
          <w:color w:val="231F20"/>
          <w:sz w:val="18"/>
        </w:rPr>
        <w:t>the</w:t>
      </w:r>
      <w:r>
        <w:rPr>
          <w:i/>
          <w:color w:val="231F20"/>
          <w:spacing w:val="16"/>
          <w:sz w:val="18"/>
        </w:rPr>
        <w:t> </w:t>
      </w:r>
      <w:r>
        <w:rPr>
          <w:i/>
          <w:color w:val="231F20"/>
          <w:sz w:val="18"/>
        </w:rPr>
        <w:t>total</w:t>
      </w:r>
      <w:r>
        <w:rPr>
          <w:i/>
          <w:color w:val="231F20"/>
          <w:spacing w:val="16"/>
          <w:sz w:val="18"/>
        </w:rPr>
        <w:t> </w:t>
      </w:r>
      <w:r>
        <w:rPr>
          <w:i/>
          <w:color w:val="231F20"/>
          <w:sz w:val="18"/>
        </w:rPr>
        <w:t>area,</w:t>
      </w:r>
      <w:r>
        <w:rPr>
          <w:i/>
          <w:color w:val="231F20"/>
          <w:spacing w:val="16"/>
          <w:sz w:val="18"/>
        </w:rPr>
        <w:t> </w:t>
      </w:r>
      <w:r>
        <w:rPr>
          <w:i/>
          <w:color w:val="231F20"/>
          <w:sz w:val="18"/>
        </w:rPr>
        <w:t>and</w:t>
      </w:r>
      <w:r>
        <w:rPr>
          <w:i/>
          <w:color w:val="231F20"/>
          <w:spacing w:val="16"/>
          <w:sz w:val="18"/>
        </w:rPr>
        <w:t> </w:t>
      </w:r>
      <w:r>
        <w:rPr>
          <w:i/>
          <w:color w:val="231F20"/>
          <w:sz w:val="18"/>
        </w:rPr>
        <w:t>is</w:t>
      </w:r>
      <w:r>
        <w:rPr>
          <w:i/>
          <w:color w:val="231F20"/>
          <w:spacing w:val="16"/>
          <w:sz w:val="18"/>
        </w:rPr>
        <w:t> </w:t>
      </w:r>
      <w:r>
        <w:rPr>
          <w:i/>
          <w:color w:val="231F20"/>
          <w:sz w:val="18"/>
        </w:rPr>
        <w:t>recognised</w:t>
      </w:r>
      <w:r>
        <w:rPr>
          <w:i/>
          <w:color w:val="231F20"/>
          <w:spacing w:val="16"/>
          <w:sz w:val="18"/>
        </w:rPr>
        <w:t> </w:t>
      </w:r>
      <w:r>
        <w:rPr>
          <w:i/>
          <w:color w:val="231F20"/>
          <w:sz w:val="18"/>
        </w:rPr>
        <w:t>as</w:t>
      </w:r>
      <w:r>
        <w:rPr>
          <w:i/>
          <w:color w:val="231F20"/>
          <w:spacing w:val="16"/>
          <w:sz w:val="18"/>
        </w:rPr>
        <w:t> </w:t>
      </w:r>
      <w:r>
        <w:rPr>
          <w:i/>
          <w:color w:val="231F20"/>
          <w:sz w:val="18"/>
        </w:rPr>
        <w:t>a</w:t>
      </w:r>
      <w:r>
        <w:rPr>
          <w:i/>
          <w:color w:val="231F20"/>
          <w:spacing w:val="16"/>
          <w:sz w:val="18"/>
        </w:rPr>
        <w:t> </w:t>
      </w:r>
      <w:r>
        <w:rPr>
          <w:i/>
          <w:color w:val="231F20"/>
          <w:sz w:val="18"/>
        </w:rPr>
        <w:t>primary</w:t>
      </w:r>
      <w:r>
        <w:rPr>
          <w:i/>
          <w:color w:val="231F20"/>
          <w:spacing w:val="16"/>
          <w:sz w:val="18"/>
        </w:rPr>
        <w:t> </w:t>
      </w:r>
      <w:r>
        <w:rPr>
          <w:i/>
          <w:color w:val="231F20"/>
          <w:sz w:val="18"/>
        </w:rPr>
        <w:t>component</w:t>
      </w:r>
      <w:r>
        <w:rPr>
          <w:i/>
          <w:color w:val="231F20"/>
          <w:spacing w:val="16"/>
          <w:sz w:val="18"/>
        </w:rPr>
        <w:t> </w:t>
      </w:r>
      <w:r>
        <w:rPr>
          <w:i/>
          <w:color w:val="231F20"/>
          <w:sz w:val="18"/>
        </w:rPr>
        <w:t>of</w:t>
      </w:r>
      <w:r>
        <w:rPr>
          <w:i/>
          <w:color w:val="231F20"/>
          <w:spacing w:val="16"/>
          <w:sz w:val="18"/>
        </w:rPr>
        <w:t> </w:t>
      </w:r>
      <w:r>
        <w:rPr>
          <w:i/>
          <w:color w:val="231F20"/>
          <w:sz w:val="18"/>
        </w:rPr>
        <w:t>the</w:t>
      </w:r>
      <w:r>
        <w:rPr>
          <w:i/>
          <w:color w:val="231F20"/>
          <w:spacing w:val="16"/>
          <w:sz w:val="18"/>
        </w:rPr>
        <w:t> </w:t>
      </w:r>
      <w:r>
        <w:rPr>
          <w:i/>
          <w:color w:val="231F20"/>
          <w:sz w:val="18"/>
        </w:rPr>
        <w:t>urban</w:t>
      </w:r>
      <w:r>
        <w:rPr>
          <w:i/>
          <w:color w:val="231F20"/>
          <w:spacing w:val="16"/>
          <w:sz w:val="18"/>
        </w:rPr>
        <w:t> </w:t>
      </w:r>
      <w:r>
        <w:rPr>
          <w:i/>
          <w:color w:val="231F20"/>
          <w:sz w:val="18"/>
        </w:rPr>
        <w:t>ecosystem”</w:t>
      </w:r>
    </w:p>
    <w:p>
      <w:pPr>
        <w:pStyle w:val="BodyText"/>
        <w:spacing w:before="3"/>
        <w:rPr>
          <w:i/>
          <w:sz w:val="26"/>
        </w:rPr>
      </w:pPr>
    </w:p>
    <w:p>
      <w:pPr>
        <w:pStyle w:val="BodyText"/>
        <w:spacing w:line="348" w:lineRule="auto"/>
        <w:ind w:left="293" w:right="564" w:firstLine="1"/>
      </w:pPr>
      <w:r>
        <w:rPr>
          <w:color w:val="231F20"/>
        </w:rPr>
        <w:t>Currently, the Marrickville landscape includes an interesting mixture of industrial, residential and commercial buildings with a healthy interwoven texture of vegetation.</w:t>
      </w:r>
    </w:p>
    <w:p>
      <w:pPr>
        <w:pStyle w:val="BodyText"/>
        <w:spacing w:before="2"/>
        <w:rPr>
          <w:sz w:val="26"/>
        </w:rPr>
      </w:pPr>
    </w:p>
    <w:p>
      <w:pPr>
        <w:pStyle w:val="BodyText"/>
        <w:spacing w:line="348" w:lineRule="auto"/>
        <w:ind w:left="294" w:right="643" w:hanging="5"/>
      </w:pPr>
      <w:r>
        <w:rPr>
          <w:color w:val="231F20"/>
        </w:rPr>
        <w:t>A perceived point of concern to the community and Council officers is the progressive removal        of</w:t>
      </w:r>
      <w:r>
        <w:rPr>
          <w:color w:val="231F20"/>
          <w:spacing w:val="17"/>
        </w:rPr>
        <w:t> </w:t>
      </w:r>
      <w:r>
        <w:rPr>
          <w:color w:val="231F20"/>
        </w:rPr>
        <w:t>medium</w:t>
      </w:r>
      <w:r>
        <w:rPr>
          <w:color w:val="231F20"/>
          <w:spacing w:val="17"/>
        </w:rPr>
        <w:t> </w:t>
      </w:r>
      <w:r>
        <w:rPr>
          <w:color w:val="231F20"/>
        </w:rPr>
        <w:t>to</w:t>
      </w:r>
      <w:r>
        <w:rPr>
          <w:color w:val="231F20"/>
          <w:spacing w:val="17"/>
        </w:rPr>
        <w:t> </w:t>
      </w:r>
      <w:r>
        <w:rPr>
          <w:color w:val="231F20"/>
        </w:rPr>
        <w:t>large</w:t>
      </w:r>
      <w:r>
        <w:rPr>
          <w:color w:val="231F20"/>
          <w:spacing w:val="17"/>
        </w:rPr>
        <w:t> </w:t>
      </w:r>
      <w:r>
        <w:rPr>
          <w:color w:val="231F20"/>
        </w:rPr>
        <w:t>trees</w:t>
      </w:r>
      <w:r>
        <w:rPr>
          <w:color w:val="231F20"/>
          <w:spacing w:val="17"/>
        </w:rPr>
        <w:t> </w:t>
      </w:r>
      <w:r>
        <w:rPr>
          <w:color w:val="231F20"/>
        </w:rPr>
        <w:t>through</w:t>
      </w:r>
      <w:r>
        <w:rPr>
          <w:color w:val="231F20"/>
          <w:spacing w:val="17"/>
        </w:rPr>
        <w:t> </w:t>
      </w:r>
      <w:r>
        <w:rPr>
          <w:color w:val="231F20"/>
        </w:rPr>
        <w:t>the</w:t>
      </w:r>
      <w:r>
        <w:rPr>
          <w:color w:val="231F20"/>
          <w:spacing w:val="17"/>
        </w:rPr>
        <w:t> </w:t>
      </w:r>
      <w:r>
        <w:rPr>
          <w:color w:val="231F20"/>
        </w:rPr>
        <w:t>continued</w:t>
      </w:r>
      <w:r>
        <w:rPr>
          <w:color w:val="231F20"/>
          <w:spacing w:val="17"/>
        </w:rPr>
        <w:t> </w:t>
      </w:r>
      <w:r>
        <w:rPr>
          <w:color w:val="231F20"/>
        </w:rPr>
        <w:t>process</w:t>
      </w:r>
      <w:r>
        <w:rPr>
          <w:color w:val="231F20"/>
          <w:spacing w:val="17"/>
        </w:rPr>
        <w:t> </w:t>
      </w:r>
      <w:r>
        <w:rPr>
          <w:color w:val="231F20"/>
        </w:rPr>
        <w:t>of</w:t>
      </w:r>
      <w:r>
        <w:rPr>
          <w:color w:val="231F20"/>
          <w:spacing w:val="17"/>
        </w:rPr>
        <w:t> </w:t>
      </w:r>
      <w:r>
        <w:rPr>
          <w:color w:val="231F20"/>
        </w:rPr>
        <w:t>urban</w:t>
      </w:r>
      <w:r>
        <w:rPr>
          <w:color w:val="231F20"/>
          <w:spacing w:val="17"/>
        </w:rPr>
        <w:t> </w:t>
      </w:r>
      <w:r>
        <w:rPr>
          <w:color w:val="231F20"/>
        </w:rPr>
        <w:t>consolidation</w:t>
      </w:r>
      <w:r>
        <w:rPr>
          <w:color w:val="231F20"/>
          <w:spacing w:val="17"/>
        </w:rPr>
        <w:t> </w:t>
      </w:r>
      <w:r>
        <w:rPr>
          <w:color w:val="231F20"/>
        </w:rPr>
        <w:t>over</w:t>
      </w:r>
      <w:r>
        <w:rPr>
          <w:color w:val="231F20"/>
          <w:spacing w:val="17"/>
        </w:rPr>
        <w:t> </w:t>
      </w:r>
      <w:r>
        <w:rPr>
          <w:color w:val="231F20"/>
        </w:rPr>
        <w:t>the</w:t>
      </w:r>
      <w:r>
        <w:rPr>
          <w:color w:val="231F20"/>
          <w:spacing w:val="17"/>
        </w:rPr>
        <w:t> </w:t>
      </w:r>
      <w:r>
        <w:rPr>
          <w:color w:val="231F20"/>
        </w:rPr>
        <w:t>last</w:t>
      </w:r>
      <w:r>
        <w:rPr>
          <w:color w:val="231F20"/>
          <w:spacing w:val="17"/>
        </w:rPr>
        <w:t> </w:t>
      </w:r>
      <w:r>
        <w:rPr>
          <w:color w:val="231F20"/>
          <w:spacing w:val="1"/>
        </w:rPr>
        <w:t>two</w:t>
      </w:r>
    </w:p>
    <w:p>
      <w:pPr>
        <w:pStyle w:val="BodyText"/>
        <w:spacing w:line="348" w:lineRule="auto" w:before="1"/>
        <w:ind w:left="293" w:right="564"/>
      </w:pPr>
      <w:r>
        <w:rPr>
          <w:color w:val="231F20"/>
        </w:rPr>
        <w:t>decades, resulting in an overall quantum decline of the large trees (therefore the urban forest) and alteration to the character of Marrickville.</w:t>
      </w:r>
    </w:p>
    <w:p>
      <w:pPr>
        <w:pStyle w:val="BodyText"/>
        <w:spacing w:before="3"/>
        <w:rPr>
          <w:sz w:val="26"/>
        </w:rPr>
      </w:pPr>
    </w:p>
    <w:p>
      <w:pPr>
        <w:pStyle w:val="BodyText"/>
        <w:spacing w:line="348" w:lineRule="auto"/>
        <w:ind w:left="289" w:right="850" w:firstLine="4"/>
      </w:pPr>
      <w:r>
        <w:rPr>
          <w:color w:val="231F20"/>
        </w:rPr>
        <w:t>Over time Council has adopted a number of policies, strategies and planning instruments, which direct and prescribe tree management. Most of these documents predate Council’s 2001 Local Environment Plan (LEP), which is itself under review. As Council is currently preparing new </w:t>
      </w:r>
      <w:r>
        <w:rPr>
          <w:color w:val="231F20"/>
          <w:spacing w:val="1"/>
        </w:rPr>
        <w:t>LEP      </w:t>
      </w:r>
      <w:r>
        <w:rPr>
          <w:color w:val="231F20"/>
        </w:rPr>
        <w:t>&amp;</w:t>
      </w:r>
      <w:r>
        <w:rPr>
          <w:color w:val="231F20"/>
          <w:spacing w:val="11"/>
        </w:rPr>
        <w:t> </w:t>
      </w:r>
      <w:r>
        <w:rPr>
          <w:color w:val="231F20"/>
        </w:rPr>
        <w:t>Tree</w:t>
      </w:r>
      <w:r>
        <w:rPr>
          <w:color w:val="231F20"/>
          <w:spacing w:val="15"/>
        </w:rPr>
        <w:t> </w:t>
      </w:r>
      <w:r>
        <w:rPr>
          <w:color w:val="231F20"/>
        </w:rPr>
        <w:t>Management</w:t>
      </w:r>
      <w:r>
        <w:rPr>
          <w:color w:val="231F20"/>
          <w:spacing w:val="15"/>
        </w:rPr>
        <w:t> </w:t>
      </w:r>
      <w:r>
        <w:rPr>
          <w:color w:val="231F20"/>
          <w:spacing w:val="-3"/>
        </w:rPr>
        <w:t>DCP,</w:t>
      </w:r>
      <w:r>
        <w:rPr>
          <w:color w:val="231F20"/>
          <w:spacing w:val="15"/>
        </w:rPr>
        <w:t> </w:t>
      </w:r>
      <w:r>
        <w:rPr>
          <w:color w:val="231F20"/>
        </w:rPr>
        <w:t>a</w:t>
      </w:r>
      <w:r>
        <w:rPr>
          <w:color w:val="231F20"/>
          <w:spacing w:val="15"/>
        </w:rPr>
        <w:t> </w:t>
      </w:r>
      <w:r>
        <w:rPr>
          <w:color w:val="231F20"/>
        </w:rPr>
        <w:t>review</w:t>
      </w:r>
      <w:r>
        <w:rPr>
          <w:color w:val="231F20"/>
          <w:spacing w:val="15"/>
        </w:rPr>
        <w:t> </w:t>
      </w:r>
      <w:r>
        <w:rPr>
          <w:color w:val="231F20"/>
        </w:rPr>
        <w:t>of</w:t>
      </w:r>
      <w:r>
        <w:rPr>
          <w:color w:val="231F20"/>
          <w:spacing w:val="15"/>
        </w:rPr>
        <w:t> </w:t>
      </w:r>
      <w:r>
        <w:rPr>
          <w:color w:val="231F20"/>
        </w:rPr>
        <w:t>existing</w:t>
      </w:r>
      <w:r>
        <w:rPr>
          <w:color w:val="231F20"/>
          <w:spacing w:val="15"/>
        </w:rPr>
        <w:t> </w:t>
      </w:r>
      <w:r>
        <w:rPr>
          <w:color w:val="231F20"/>
        </w:rPr>
        <w:t>tree</w:t>
      </w:r>
      <w:r>
        <w:rPr>
          <w:color w:val="231F20"/>
          <w:spacing w:val="15"/>
        </w:rPr>
        <w:t> </w:t>
      </w:r>
      <w:r>
        <w:rPr>
          <w:color w:val="231F20"/>
        </w:rPr>
        <w:t>asset</w:t>
      </w:r>
      <w:r>
        <w:rPr>
          <w:color w:val="231F20"/>
          <w:spacing w:val="15"/>
        </w:rPr>
        <w:t> </w:t>
      </w:r>
      <w:r>
        <w:rPr>
          <w:color w:val="231F20"/>
        </w:rPr>
        <w:t>condition</w:t>
      </w:r>
      <w:r>
        <w:rPr>
          <w:color w:val="231F20"/>
          <w:spacing w:val="15"/>
        </w:rPr>
        <w:t> </w:t>
      </w:r>
      <w:r>
        <w:rPr>
          <w:color w:val="231F20"/>
        </w:rPr>
        <w:t>and</w:t>
      </w:r>
      <w:r>
        <w:rPr>
          <w:color w:val="231F20"/>
          <w:spacing w:val="15"/>
        </w:rPr>
        <w:t> </w:t>
      </w:r>
      <w:r>
        <w:rPr>
          <w:color w:val="231F20"/>
        </w:rPr>
        <w:t>current</w:t>
      </w:r>
      <w:r>
        <w:rPr>
          <w:color w:val="231F20"/>
          <w:spacing w:val="15"/>
        </w:rPr>
        <w:t> </w:t>
      </w:r>
      <w:r>
        <w:rPr>
          <w:color w:val="231F20"/>
        </w:rPr>
        <w:t>management</w:t>
      </w:r>
    </w:p>
    <w:p>
      <w:pPr>
        <w:pStyle w:val="BodyText"/>
        <w:spacing w:line="348" w:lineRule="auto" w:before="2"/>
        <w:ind w:left="300" w:right="684" w:hanging="3"/>
      </w:pPr>
      <w:r>
        <w:rPr>
          <w:color w:val="231F20"/>
        </w:rPr>
        <w:t>procedure in the Marrickville LGA is considered timely to assist the policy making process. Council       is</w:t>
      </w:r>
      <w:r>
        <w:rPr>
          <w:color w:val="231F20"/>
          <w:spacing w:val="10"/>
        </w:rPr>
        <w:t> </w:t>
      </w:r>
      <w:r>
        <w:rPr>
          <w:color w:val="231F20"/>
        </w:rPr>
        <w:t>also</w:t>
      </w:r>
      <w:r>
        <w:rPr>
          <w:color w:val="231F20"/>
          <w:spacing w:val="10"/>
        </w:rPr>
        <w:t> </w:t>
      </w:r>
      <w:r>
        <w:rPr>
          <w:color w:val="231F20"/>
        </w:rPr>
        <w:t>preparing</w:t>
      </w:r>
      <w:r>
        <w:rPr>
          <w:color w:val="231F20"/>
          <w:spacing w:val="10"/>
        </w:rPr>
        <w:t> </w:t>
      </w:r>
      <w:r>
        <w:rPr>
          <w:color w:val="231F20"/>
        </w:rPr>
        <w:t>a</w:t>
      </w:r>
      <w:r>
        <w:rPr>
          <w:color w:val="231F20"/>
          <w:spacing w:val="10"/>
        </w:rPr>
        <w:t> </w:t>
      </w:r>
      <w:r>
        <w:rPr>
          <w:color w:val="231F20"/>
        </w:rPr>
        <w:t>Community</w:t>
      </w:r>
      <w:r>
        <w:rPr>
          <w:color w:val="231F20"/>
          <w:spacing w:val="10"/>
        </w:rPr>
        <w:t> </w:t>
      </w:r>
      <w:r>
        <w:rPr>
          <w:color w:val="231F20"/>
        </w:rPr>
        <w:t>Strategic</w:t>
      </w:r>
      <w:r>
        <w:rPr>
          <w:color w:val="231F20"/>
          <w:spacing w:val="10"/>
        </w:rPr>
        <w:t> </w:t>
      </w:r>
      <w:r>
        <w:rPr>
          <w:color w:val="231F20"/>
        </w:rPr>
        <w:t>Plan</w:t>
      </w:r>
      <w:r>
        <w:rPr>
          <w:color w:val="231F20"/>
          <w:spacing w:val="10"/>
        </w:rPr>
        <w:t> </w:t>
      </w:r>
      <w:r>
        <w:rPr>
          <w:color w:val="231F20"/>
        </w:rPr>
        <w:t>to</w:t>
      </w:r>
      <w:r>
        <w:rPr>
          <w:color w:val="231F20"/>
          <w:spacing w:val="10"/>
        </w:rPr>
        <w:t> </w:t>
      </w:r>
      <w:r>
        <w:rPr>
          <w:color w:val="231F20"/>
        </w:rPr>
        <w:t>set</w:t>
      </w:r>
      <w:r>
        <w:rPr>
          <w:color w:val="231F20"/>
          <w:spacing w:val="10"/>
        </w:rPr>
        <w:t> </w:t>
      </w:r>
      <w:r>
        <w:rPr>
          <w:color w:val="231F20"/>
        </w:rPr>
        <w:t>its</w:t>
      </w:r>
      <w:r>
        <w:rPr>
          <w:color w:val="231F20"/>
          <w:spacing w:val="10"/>
        </w:rPr>
        <w:t> </w:t>
      </w:r>
      <w:r>
        <w:rPr>
          <w:color w:val="231F20"/>
        </w:rPr>
        <w:t>direction</w:t>
      </w:r>
      <w:r>
        <w:rPr>
          <w:color w:val="231F20"/>
          <w:spacing w:val="10"/>
        </w:rPr>
        <w:t> </w:t>
      </w:r>
      <w:r>
        <w:rPr>
          <w:color w:val="231F20"/>
        </w:rPr>
        <w:t>for</w:t>
      </w:r>
      <w:r>
        <w:rPr>
          <w:color w:val="231F20"/>
          <w:spacing w:val="10"/>
        </w:rPr>
        <w:t> </w:t>
      </w:r>
      <w:r>
        <w:rPr>
          <w:color w:val="231F20"/>
        </w:rPr>
        <w:t>the</w:t>
      </w:r>
      <w:r>
        <w:rPr>
          <w:color w:val="231F20"/>
          <w:spacing w:val="10"/>
        </w:rPr>
        <w:t> </w:t>
      </w:r>
      <w:r>
        <w:rPr>
          <w:color w:val="231F20"/>
        </w:rPr>
        <w:t>future.</w:t>
      </w:r>
    </w:p>
    <w:p>
      <w:pPr>
        <w:spacing w:after="0" w:line="348" w:lineRule="auto"/>
        <w:sectPr>
          <w:type w:val="continuous"/>
          <w:pgSz w:w="11910" w:h="16840"/>
          <w:pgMar w:top="1360" w:bottom="280" w:left="460" w:right="440"/>
          <w:cols w:num="2" w:equalWidth="0">
            <w:col w:w="3276" w:space="230"/>
            <w:col w:w="7504"/>
          </w:cols>
        </w:sectPr>
      </w:pPr>
    </w:p>
    <w:p>
      <w:pPr>
        <w:pStyle w:val="BodyText"/>
        <w:rPr>
          <w:sz w:val="20"/>
        </w:rPr>
      </w:pPr>
      <w:r>
        <w:rPr/>
        <w:pict>
          <v:group style="position:absolute;margin-left:22.676901pt;margin-top:28.346714pt;width:530.1pt;height:772.1pt;mso-position-horizontal-relative:page;mso-position-vertical-relative:page;z-index:-95656" coordorigin="454,567" coordsize="10602,15442">
            <v:line style="position:absolute" from="3964,567" to="3964,16009" stroked="true" strokeweight=".25pt" strokecolor="#808285">
              <v:stroke dashstyle="solid"/>
            </v:line>
            <v:line style="position:absolute" from="11055,2059" to="454,2059" stroked="true" strokeweight=".25pt" strokecolor="#808285">
              <v:stroke dashstyle="solid"/>
            </v:line>
            <v:shape style="position:absolute;left:4251;top:10908;width:6804;height:4500" type="#_x0000_t75" stroked="false">
              <v:imagedata r:id="rId16"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before="100"/>
        <w:ind w:left="3746" w:right="3875" w:firstLine="0"/>
        <w:jc w:val="center"/>
        <w:rPr>
          <w:i/>
          <w:sz w:val="14"/>
        </w:rPr>
      </w:pPr>
      <w:r>
        <w:rPr>
          <w:b/>
          <w:i/>
          <w:color w:val="231F20"/>
          <w:sz w:val="14"/>
        </w:rPr>
        <w:t>Figure 2. </w:t>
      </w:r>
      <w:r>
        <w:rPr>
          <w:i/>
          <w:color w:val="231F20"/>
          <w:sz w:val="14"/>
        </w:rPr>
        <w:t>Plane Tree Avenue to Williams Parade, Dulwich  Hill</w:t>
      </w:r>
    </w:p>
    <w:p>
      <w:pPr>
        <w:spacing w:after="0"/>
        <w:jc w:val="center"/>
        <w:rPr>
          <w:sz w:val="14"/>
        </w:rPr>
        <w:sectPr>
          <w:type w:val="continuous"/>
          <w:pgSz w:w="11910" w:h="16840"/>
          <w:pgMar w:top="1360" w:bottom="280" w:left="460" w:right="440"/>
        </w:sectPr>
      </w:pPr>
    </w:p>
    <w:p>
      <w:pPr>
        <w:pStyle w:val="BodyText"/>
        <w:rPr>
          <w:i/>
          <w:sz w:val="20"/>
        </w:rPr>
      </w:pPr>
      <w:r>
        <w:rPr/>
        <w:pict>
          <v:group style="position:absolute;margin-left:42.5201pt;margin-top:28.919714pt;width:524.450pt;height:771.55pt;mso-position-horizontal-relative:page;mso-position-vertical-relative:page;z-index:-95608" coordorigin="850,578" coordsize="10489,15431">
            <v:line style="position:absolute" from="7942,578" to="7942,16009" stroked="true" strokeweight=".25pt" strokecolor="#808285">
              <v:stroke dashstyle="solid"/>
            </v:line>
            <v:line style="position:absolute" from="11339,2059" to="850,2059" stroked="true" strokeweight=".25pt" strokecolor="#808285">
              <v:stroke dashstyle="solid"/>
            </v:line>
            <w10:wrap type="none"/>
          </v:group>
        </w:pict>
      </w:r>
    </w:p>
    <w:p>
      <w:pPr>
        <w:spacing w:before="216"/>
        <w:ind w:left="0" w:right="966" w:firstLine="0"/>
        <w:jc w:val="right"/>
        <w:rPr>
          <w:i/>
          <w:sz w:val="24"/>
        </w:rPr>
      </w:pPr>
      <w:r>
        <w:rPr/>
        <w:pict>
          <v:shape style="position:absolute;margin-left:539.369202pt;margin-top:-7.862083pt;width:21.9pt;height:55.1pt;mso-position-horizontal-relative:page;mso-position-vertical-relative:paragraph;z-index:1360" type="#_x0000_t202" filled="false" stroked="false">
            <v:textbox inset="0,0,0,0">
              <w:txbxContent>
                <w:p>
                  <w:pPr>
                    <w:spacing w:line="1100" w:lineRule="exact" w:before="0"/>
                    <w:ind w:left="0" w:right="0" w:firstLine="0"/>
                    <w:jc w:val="left"/>
                    <w:rPr>
                      <w:b/>
                      <w:sz w:val="96"/>
                    </w:rPr>
                  </w:pPr>
                  <w:r>
                    <w:rPr>
                      <w:b/>
                      <w:color w:val="808285"/>
                      <w:sz w:val="96"/>
                    </w:rPr>
                    <w:t>1</w:t>
                  </w:r>
                </w:p>
              </w:txbxContent>
            </v:textbox>
            <w10:wrap type="none"/>
          </v:shape>
        </w:pict>
      </w:r>
      <w:r>
        <w:rPr>
          <w:i/>
          <w:color w:val="231F20"/>
          <w:sz w:val="24"/>
        </w:rPr>
        <w:t>Marrickville Council</w:t>
      </w:r>
    </w:p>
    <w:p>
      <w:pPr>
        <w:spacing w:before="25"/>
        <w:ind w:left="0" w:right="964" w:firstLine="0"/>
        <w:jc w:val="right"/>
        <w:rPr>
          <w:b/>
          <w:i/>
          <w:sz w:val="24"/>
        </w:rPr>
      </w:pPr>
      <w:r>
        <w:rPr>
          <w:b/>
          <w:i/>
          <w:color w:val="231F20"/>
          <w:sz w:val="24"/>
        </w:rPr>
        <w:t>Urban  Forest Strategy</w:t>
      </w:r>
    </w:p>
    <w:p>
      <w:pPr>
        <w:pStyle w:val="BodyText"/>
        <w:rPr>
          <w:b/>
          <w:i/>
          <w:sz w:val="20"/>
        </w:rPr>
      </w:pPr>
    </w:p>
    <w:p>
      <w:pPr>
        <w:pStyle w:val="BodyText"/>
        <w:rPr>
          <w:b/>
          <w:i/>
          <w:sz w:val="20"/>
        </w:rPr>
      </w:pPr>
    </w:p>
    <w:p>
      <w:pPr>
        <w:pStyle w:val="BodyText"/>
        <w:spacing w:before="3"/>
        <w:rPr>
          <w:b/>
          <w:i/>
          <w:sz w:val="19"/>
        </w:rPr>
      </w:pPr>
    </w:p>
    <w:p>
      <w:pPr>
        <w:pStyle w:val="BodyText"/>
        <w:spacing w:line="348" w:lineRule="auto" w:before="1"/>
        <w:ind w:left="398" w:right="4439" w:hanging="14"/>
      </w:pPr>
      <w:r>
        <w:rPr>
          <w:color w:val="231F20"/>
        </w:rPr>
        <w:t>The Draft Community Strategic Plan identifies a well planned sustainable urban environment     as a key result of Council’s activities. The Urban Forest being a significant part of the urban environment</w:t>
      </w:r>
      <w:r>
        <w:rPr>
          <w:color w:val="231F20"/>
          <w:spacing w:val="11"/>
        </w:rPr>
        <w:t> </w:t>
      </w:r>
      <w:r>
        <w:rPr>
          <w:color w:val="231F20"/>
        </w:rPr>
        <w:t>should</w:t>
      </w:r>
      <w:r>
        <w:rPr>
          <w:color w:val="231F20"/>
          <w:spacing w:val="11"/>
        </w:rPr>
        <w:t> </w:t>
      </w:r>
      <w:r>
        <w:rPr>
          <w:color w:val="231F20"/>
        </w:rPr>
        <w:t>be</w:t>
      </w:r>
      <w:r>
        <w:rPr>
          <w:color w:val="231F20"/>
          <w:spacing w:val="11"/>
        </w:rPr>
        <w:t> </w:t>
      </w:r>
      <w:r>
        <w:rPr>
          <w:color w:val="231F20"/>
        </w:rPr>
        <w:t>managed</w:t>
      </w:r>
      <w:r>
        <w:rPr>
          <w:color w:val="231F20"/>
          <w:spacing w:val="11"/>
        </w:rPr>
        <w:t> </w:t>
      </w:r>
      <w:r>
        <w:rPr>
          <w:color w:val="231F20"/>
        </w:rPr>
        <w:t>to</w:t>
      </w:r>
      <w:r>
        <w:rPr>
          <w:color w:val="231F20"/>
          <w:spacing w:val="11"/>
        </w:rPr>
        <w:t> </w:t>
      </w:r>
      <w:r>
        <w:rPr>
          <w:color w:val="231F20"/>
        </w:rPr>
        <w:t>contribute</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achievement</w:t>
      </w:r>
      <w:r>
        <w:rPr>
          <w:color w:val="231F20"/>
          <w:spacing w:val="11"/>
        </w:rPr>
        <w:t> </w:t>
      </w:r>
      <w:r>
        <w:rPr>
          <w:color w:val="231F20"/>
        </w:rPr>
        <w:t>of</w:t>
      </w:r>
      <w:r>
        <w:rPr>
          <w:color w:val="231F20"/>
          <w:spacing w:val="11"/>
        </w:rPr>
        <w:t> </w:t>
      </w:r>
      <w:r>
        <w:rPr>
          <w:color w:val="231F20"/>
        </w:rPr>
        <w:t>this</w:t>
      </w:r>
      <w:r>
        <w:rPr>
          <w:color w:val="231F20"/>
          <w:spacing w:val="11"/>
        </w:rPr>
        <w:t> </w:t>
      </w:r>
      <w:r>
        <w:rPr>
          <w:color w:val="231F20"/>
        </w:rPr>
        <w:t>result.</w:t>
      </w:r>
    </w:p>
    <w:p>
      <w:pPr>
        <w:pStyle w:val="BodyText"/>
        <w:spacing w:before="3"/>
        <w:rPr>
          <w:sz w:val="26"/>
        </w:rPr>
      </w:pPr>
    </w:p>
    <w:p>
      <w:pPr>
        <w:pStyle w:val="BodyText"/>
        <w:ind w:left="385"/>
      </w:pPr>
      <w:r>
        <w:rPr>
          <w:color w:val="231F20"/>
        </w:rPr>
        <w:t>The vision for Marrickville’s Urban Forest is that:</w:t>
      </w:r>
    </w:p>
    <w:p>
      <w:pPr>
        <w:pStyle w:val="BodyText"/>
        <w:rPr>
          <w:sz w:val="20"/>
        </w:rPr>
      </w:pPr>
    </w:p>
    <w:p>
      <w:pPr>
        <w:spacing w:line="278" w:lineRule="auto" w:before="152"/>
        <w:ind w:left="875" w:right="4087" w:hanging="139"/>
        <w:jc w:val="left"/>
        <w:rPr>
          <w:b/>
          <w:i/>
          <w:sz w:val="18"/>
        </w:rPr>
      </w:pPr>
      <w:r>
        <w:rPr>
          <w:b/>
          <w:i/>
          <w:color w:val="231F20"/>
          <w:sz w:val="18"/>
        </w:rPr>
        <w:t>Marrickville’s Urban Forest is a well managed, intergenerational, resource providing </w:t>
      </w:r>
      <w:r>
        <w:rPr>
          <w:b/>
          <w:i/>
          <w:color w:val="231F20"/>
          <w:sz w:val="18"/>
        </w:rPr>
        <w:t>amenity, social, environmental and economic benefits to the community.</w:t>
      </w:r>
    </w:p>
    <w:p>
      <w:pPr>
        <w:pStyle w:val="BodyText"/>
        <w:rPr>
          <w:b/>
          <w:i/>
          <w:sz w:val="20"/>
        </w:rPr>
      </w:pPr>
    </w:p>
    <w:p>
      <w:pPr>
        <w:pStyle w:val="BodyText"/>
        <w:spacing w:before="8"/>
        <w:rPr>
          <w:b/>
          <w:i/>
          <w:sz w:val="17"/>
        </w:rPr>
      </w:pPr>
    </w:p>
    <w:p>
      <w:pPr>
        <w:pStyle w:val="BodyText"/>
        <w:spacing w:line="348" w:lineRule="auto"/>
        <w:ind w:left="394" w:right="4087" w:hanging="10"/>
      </w:pPr>
      <w:r>
        <w:rPr>
          <w:color w:val="231F20"/>
        </w:rPr>
        <w:t>The Marrickville Urban Forest Strategy (MUFS) takes this vision and the Draft Urban Forest </w:t>
      </w:r>
      <w:r>
        <w:rPr>
          <w:color w:val="231F20"/>
          <w:spacing w:val="1"/>
        </w:rPr>
        <w:t>Policy </w:t>
      </w:r>
      <w:r>
        <w:rPr>
          <w:color w:val="231F20"/>
        </w:rPr>
        <w:t>(preceding this document) enlarges upon them to describe the values,  strategic  approach  </w:t>
      </w:r>
      <w:r>
        <w:rPr>
          <w:color w:val="231F20"/>
          <w:spacing w:val="1"/>
        </w:rPr>
        <w:t>and </w:t>
      </w:r>
      <w:r>
        <w:rPr>
          <w:color w:val="231F20"/>
        </w:rPr>
        <w:t>actions to be undertaken to manage and increase the Urban Forest within the Local Government    Area</w:t>
      </w:r>
      <w:r>
        <w:rPr>
          <w:color w:val="231F20"/>
          <w:spacing w:val="7"/>
        </w:rPr>
        <w:t> </w:t>
      </w:r>
      <w:r>
        <w:rPr>
          <w:color w:val="231F20"/>
        </w:rPr>
        <w:t>(LGA)</w:t>
      </w:r>
      <w:r>
        <w:rPr>
          <w:color w:val="231F20"/>
          <w:spacing w:val="7"/>
        </w:rPr>
        <w:t> </w:t>
      </w:r>
      <w:r>
        <w:rPr>
          <w:color w:val="231F20"/>
        </w:rPr>
        <w:t>of</w:t>
      </w:r>
      <w:r>
        <w:rPr>
          <w:color w:val="231F20"/>
          <w:spacing w:val="7"/>
        </w:rPr>
        <w:t> </w:t>
      </w:r>
      <w:r>
        <w:rPr>
          <w:color w:val="231F20"/>
        </w:rPr>
        <w:t>Marrickville</w:t>
      </w:r>
      <w:r>
        <w:rPr>
          <w:color w:val="231F20"/>
          <w:spacing w:val="7"/>
        </w:rPr>
        <w:t> </w:t>
      </w:r>
      <w:r>
        <w:rPr>
          <w:color w:val="231F20"/>
        </w:rPr>
        <w:t>for</w:t>
      </w:r>
      <w:r>
        <w:rPr>
          <w:color w:val="231F20"/>
          <w:spacing w:val="7"/>
        </w:rPr>
        <w:t> </w:t>
      </w:r>
      <w:r>
        <w:rPr>
          <w:color w:val="231F20"/>
        </w:rPr>
        <w:t>the</w:t>
      </w:r>
      <w:r>
        <w:rPr>
          <w:color w:val="231F20"/>
          <w:spacing w:val="7"/>
        </w:rPr>
        <w:t> </w:t>
      </w:r>
      <w:r>
        <w:rPr>
          <w:color w:val="231F20"/>
        </w:rPr>
        <w:t>period</w:t>
      </w:r>
      <w:r>
        <w:rPr>
          <w:color w:val="231F20"/>
          <w:spacing w:val="7"/>
        </w:rPr>
        <w:t> </w:t>
      </w:r>
      <w:r>
        <w:rPr>
          <w:color w:val="231F20"/>
        </w:rPr>
        <w:t>2011-2016.</w:t>
      </w:r>
    </w:p>
    <w:p>
      <w:pPr>
        <w:pStyle w:val="BodyText"/>
        <w:spacing w:before="4"/>
        <w:rPr>
          <w:sz w:val="26"/>
        </w:rPr>
      </w:pPr>
    </w:p>
    <w:p>
      <w:pPr>
        <w:pStyle w:val="BodyText"/>
        <w:spacing w:line="348" w:lineRule="auto"/>
        <w:ind w:left="398" w:right="4087" w:hanging="14"/>
      </w:pPr>
      <w:r>
        <w:rPr>
          <w:color w:val="231F20"/>
        </w:rPr>
        <w:t>The MUFS also outlines a number of changes to the  way  Council  manages  trees  both  </w:t>
      </w:r>
      <w:r>
        <w:rPr>
          <w:color w:val="231F20"/>
          <w:spacing w:val="1"/>
        </w:rPr>
        <w:t>within </w:t>
      </w:r>
      <w:r>
        <w:rPr>
          <w:color w:val="231F20"/>
        </w:rPr>
        <w:t>Council and privately owned lands. The Public Tree Asset will be managed according to the </w:t>
      </w:r>
      <w:r>
        <w:rPr>
          <w:color w:val="231F20"/>
          <w:spacing w:val="1"/>
        </w:rPr>
        <w:t>“whole     </w:t>
      </w:r>
      <w:r>
        <w:rPr>
          <w:color w:val="231F20"/>
        </w:rPr>
        <w:t>of</w:t>
      </w:r>
      <w:r>
        <w:rPr>
          <w:color w:val="231F20"/>
          <w:spacing w:val="10"/>
        </w:rPr>
        <w:t> </w:t>
      </w:r>
      <w:r>
        <w:rPr>
          <w:color w:val="231F20"/>
        </w:rPr>
        <w:t>life”</w:t>
      </w:r>
      <w:r>
        <w:rPr>
          <w:color w:val="231F20"/>
          <w:spacing w:val="10"/>
        </w:rPr>
        <w:t> </w:t>
      </w:r>
      <w:r>
        <w:rPr>
          <w:color w:val="231F20"/>
        </w:rPr>
        <w:t>management</w:t>
      </w:r>
      <w:r>
        <w:rPr>
          <w:color w:val="231F20"/>
          <w:spacing w:val="10"/>
        </w:rPr>
        <w:t> </w:t>
      </w:r>
      <w:r>
        <w:rPr>
          <w:color w:val="231F20"/>
        </w:rPr>
        <w:t>approach</w:t>
      </w:r>
      <w:r>
        <w:rPr>
          <w:color w:val="231F20"/>
          <w:spacing w:val="10"/>
        </w:rPr>
        <w:t> </w:t>
      </w:r>
      <w:r>
        <w:rPr>
          <w:color w:val="231F20"/>
        </w:rPr>
        <w:t>based</w:t>
      </w:r>
      <w:r>
        <w:rPr>
          <w:color w:val="231F20"/>
          <w:spacing w:val="10"/>
        </w:rPr>
        <w:t> </w:t>
      </w:r>
      <w:r>
        <w:rPr>
          <w:color w:val="231F20"/>
        </w:rPr>
        <w:t>on</w:t>
      </w:r>
      <w:r>
        <w:rPr>
          <w:color w:val="231F20"/>
          <w:spacing w:val="10"/>
        </w:rPr>
        <w:t> </w:t>
      </w:r>
      <w:r>
        <w:rPr>
          <w:color w:val="231F20"/>
        </w:rPr>
        <w:t>industry</w:t>
      </w:r>
      <w:r>
        <w:rPr>
          <w:color w:val="231F20"/>
          <w:spacing w:val="10"/>
        </w:rPr>
        <w:t> </w:t>
      </w:r>
      <w:r>
        <w:rPr>
          <w:color w:val="231F20"/>
        </w:rPr>
        <w:t>best</w:t>
      </w:r>
      <w:r>
        <w:rPr>
          <w:color w:val="231F20"/>
          <w:spacing w:val="10"/>
        </w:rPr>
        <w:t> </w:t>
      </w:r>
      <w:r>
        <w:rPr>
          <w:color w:val="231F20"/>
        </w:rPr>
        <w:t>practice</w:t>
      </w:r>
      <w:r>
        <w:rPr>
          <w:color w:val="231F20"/>
          <w:spacing w:val="10"/>
        </w:rPr>
        <w:t> </w:t>
      </w:r>
      <w:r>
        <w:rPr>
          <w:color w:val="231F20"/>
        </w:rPr>
        <w:t>principles.</w:t>
      </w:r>
    </w:p>
    <w:p>
      <w:pPr>
        <w:pStyle w:val="BodyText"/>
        <w:spacing w:before="3"/>
        <w:rPr>
          <w:sz w:val="26"/>
        </w:rPr>
      </w:pPr>
    </w:p>
    <w:p>
      <w:pPr>
        <w:pStyle w:val="BodyText"/>
        <w:spacing w:line="348" w:lineRule="auto"/>
        <w:ind w:left="398" w:right="4211" w:hanging="14"/>
      </w:pPr>
      <w:r>
        <w:rPr>
          <w:color w:val="231F20"/>
        </w:rPr>
        <w:t>The other change of approach results from the concept of the Urban Forest being trees on both private and public land and for the need for the urban forest across the LGA to have a critical     mass of percentage canopy cover in order to maximise the environmental benefits for the urban environment</w:t>
      </w:r>
      <w:r>
        <w:rPr>
          <w:color w:val="231F20"/>
          <w:spacing w:val="12"/>
        </w:rPr>
        <w:t> </w:t>
      </w:r>
      <w:r>
        <w:rPr>
          <w:color w:val="231F20"/>
        </w:rPr>
        <w:t>such</w:t>
      </w:r>
      <w:r>
        <w:rPr>
          <w:color w:val="231F20"/>
          <w:spacing w:val="12"/>
        </w:rPr>
        <w:t> </w:t>
      </w:r>
      <w:r>
        <w:rPr>
          <w:color w:val="231F20"/>
        </w:rPr>
        <w:t>as</w:t>
      </w:r>
      <w:r>
        <w:rPr>
          <w:color w:val="231F20"/>
          <w:spacing w:val="12"/>
        </w:rPr>
        <w:t> </w:t>
      </w:r>
      <w:r>
        <w:rPr>
          <w:color w:val="231F20"/>
        </w:rPr>
        <w:t>decreasing</w:t>
      </w:r>
      <w:r>
        <w:rPr>
          <w:color w:val="231F20"/>
          <w:spacing w:val="12"/>
        </w:rPr>
        <w:t> </w:t>
      </w:r>
      <w:r>
        <w:rPr>
          <w:color w:val="231F20"/>
        </w:rPr>
        <w:t>urban</w:t>
      </w:r>
      <w:r>
        <w:rPr>
          <w:color w:val="231F20"/>
          <w:spacing w:val="12"/>
        </w:rPr>
        <w:t> </w:t>
      </w:r>
      <w:r>
        <w:rPr>
          <w:color w:val="231F20"/>
        </w:rPr>
        <w:t>area</w:t>
      </w:r>
      <w:r>
        <w:rPr>
          <w:color w:val="231F20"/>
          <w:spacing w:val="12"/>
        </w:rPr>
        <w:t> </w:t>
      </w:r>
      <w:r>
        <w:rPr>
          <w:color w:val="231F20"/>
        </w:rPr>
        <w:t>heat</w:t>
      </w:r>
      <w:r>
        <w:rPr>
          <w:color w:val="231F20"/>
          <w:spacing w:val="12"/>
        </w:rPr>
        <w:t> </w:t>
      </w:r>
      <w:r>
        <w:rPr>
          <w:color w:val="231F20"/>
        </w:rPr>
        <w:t>island</w:t>
      </w:r>
      <w:r>
        <w:rPr>
          <w:color w:val="231F20"/>
          <w:spacing w:val="12"/>
        </w:rPr>
        <w:t> </w:t>
      </w:r>
      <w:r>
        <w:rPr>
          <w:color w:val="231F20"/>
        </w:rPr>
        <w:t>effect</w:t>
      </w:r>
      <w:r>
        <w:rPr>
          <w:color w:val="231F20"/>
          <w:spacing w:val="12"/>
        </w:rPr>
        <w:t> </w:t>
      </w:r>
      <w:r>
        <w:rPr>
          <w:color w:val="231F20"/>
        </w:rPr>
        <w:t>and</w:t>
      </w:r>
      <w:r>
        <w:rPr>
          <w:color w:val="231F20"/>
          <w:spacing w:val="12"/>
        </w:rPr>
        <w:t> </w:t>
      </w:r>
      <w:r>
        <w:rPr>
          <w:color w:val="231F20"/>
        </w:rPr>
        <w:t>air</w:t>
      </w:r>
      <w:r>
        <w:rPr>
          <w:color w:val="231F20"/>
          <w:spacing w:val="12"/>
        </w:rPr>
        <w:t> </w:t>
      </w:r>
      <w:r>
        <w:rPr>
          <w:color w:val="231F20"/>
        </w:rPr>
        <w:t>borne</w:t>
      </w:r>
      <w:r>
        <w:rPr>
          <w:color w:val="231F20"/>
          <w:spacing w:val="12"/>
        </w:rPr>
        <w:t> </w:t>
      </w:r>
      <w:r>
        <w:rPr>
          <w:color w:val="231F20"/>
        </w:rPr>
        <w:t>pollution.</w:t>
      </w:r>
    </w:p>
    <w:p>
      <w:pPr>
        <w:spacing w:after="0" w:line="348" w:lineRule="auto"/>
        <w:sectPr>
          <w:pgSz w:w="11910" w:h="16840"/>
          <w:pgMar w:header="0" w:footer="779" w:top="920" w:bottom="960" w:left="460" w:right="440"/>
        </w:sectPr>
      </w:pPr>
    </w:p>
    <w:p>
      <w:pPr>
        <w:pStyle w:val="BodyText"/>
        <w:rPr>
          <w:sz w:val="20"/>
        </w:rPr>
      </w:pPr>
    </w:p>
    <w:p>
      <w:pPr>
        <w:spacing w:after="0"/>
        <w:rPr>
          <w:sz w:val="20"/>
        </w:rPr>
        <w:sectPr>
          <w:pgSz w:w="11910" w:h="16840"/>
          <w:pgMar w:header="0" w:footer="779" w:top="920" w:bottom="960" w:left="460" w:right="440"/>
        </w:sectPr>
      </w:pPr>
    </w:p>
    <w:p>
      <w:pPr>
        <w:spacing w:before="216"/>
        <w:ind w:left="1347" w:right="0" w:firstLine="0"/>
        <w:jc w:val="left"/>
        <w:rPr>
          <w:i/>
          <w:sz w:val="24"/>
        </w:rPr>
      </w:pPr>
      <w:r>
        <w:rPr/>
        <w:pict>
          <v:shape style="position:absolute;margin-left:34.015701pt;margin-top:-7.862083pt;width:21.9pt;height:55.1pt;mso-position-horizontal-relative:page;mso-position-vertical-relative:paragraph;z-index:1408" type="#_x0000_t202" filled="false" stroked="false">
            <v:textbox inset="0,0,0,0">
              <w:txbxContent>
                <w:p>
                  <w:pPr>
                    <w:spacing w:line="1100" w:lineRule="exact" w:before="0"/>
                    <w:ind w:left="0" w:right="0" w:firstLine="0"/>
                    <w:jc w:val="left"/>
                    <w:rPr>
                      <w:b/>
                      <w:sz w:val="96"/>
                    </w:rPr>
                  </w:pPr>
                  <w:r>
                    <w:rPr>
                      <w:b/>
                      <w:color w:val="808285"/>
                      <w:sz w:val="96"/>
                    </w:rPr>
                    <w:t>2</w:t>
                  </w:r>
                </w:p>
              </w:txbxContent>
            </v:textbox>
            <w10:wrap type="none"/>
          </v:shape>
        </w:pict>
      </w:r>
      <w:r>
        <w:rPr>
          <w:i/>
          <w:color w:val="231F20"/>
          <w:sz w:val="24"/>
        </w:rPr>
        <w:t>Marrickville Council</w:t>
      </w:r>
    </w:p>
    <w:p>
      <w:pPr>
        <w:spacing w:before="25"/>
        <w:ind w:left="966" w:right="0" w:firstLine="0"/>
        <w:jc w:val="left"/>
        <w:rPr>
          <w:b/>
          <w:i/>
          <w:sz w:val="24"/>
        </w:rPr>
      </w:pPr>
      <w:r>
        <w:rPr>
          <w:b/>
          <w:i/>
          <w:color w:val="231F20"/>
          <w:sz w:val="24"/>
        </w:rPr>
        <w:t>Urban  Forest Strategy</w:t>
      </w:r>
    </w:p>
    <w:p>
      <w:pPr>
        <w:pStyle w:val="BodyText"/>
        <w:spacing w:before="8"/>
        <w:rPr>
          <w:b/>
          <w:i/>
          <w:sz w:val="41"/>
        </w:rPr>
      </w:pPr>
      <w:r>
        <w:rPr/>
        <w:br w:type="column"/>
      </w:r>
      <w:r>
        <w:rPr>
          <w:b/>
          <w:i/>
          <w:sz w:val="41"/>
        </w:rPr>
      </w:r>
    </w:p>
    <w:p>
      <w:pPr>
        <w:pStyle w:val="Heading1"/>
        <w:numPr>
          <w:ilvl w:val="0"/>
          <w:numId w:val="7"/>
        </w:numPr>
        <w:tabs>
          <w:tab w:pos="504" w:val="left" w:leader="none"/>
        </w:tabs>
        <w:spacing w:line="240" w:lineRule="auto" w:before="0" w:after="0"/>
        <w:ind w:left="503" w:right="0" w:hanging="283"/>
        <w:jc w:val="left"/>
      </w:pPr>
      <w:bookmarkStart w:name="_TOC_250001" w:id="3"/>
      <w:bookmarkEnd w:id="3"/>
      <w:r>
        <w:rPr>
          <w:color w:val="231F20"/>
          <w:spacing w:val="1"/>
        </w:rPr>
        <w:t>VALUES</w:t>
      </w:r>
    </w:p>
    <w:p>
      <w:pPr>
        <w:pStyle w:val="BodyText"/>
        <w:rPr>
          <w:b/>
          <w:sz w:val="32"/>
        </w:rPr>
      </w:pPr>
    </w:p>
    <w:p>
      <w:pPr>
        <w:pStyle w:val="BodyText"/>
        <w:spacing w:before="7"/>
        <w:rPr>
          <w:b/>
          <w:sz w:val="26"/>
        </w:rPr>
      </w:pPr>
    </w:p>
    <w:p>
      <w:pPr>
        <w:pStyle w:val="BodyText"/>
        <w:spacing w:line="348" w:lineRule="auto"/>
        <w:ind w:left="220" w:right="713"/>
      </w:pPr>
      <w:r>
        <w:rPr>
          <w:color w:val="231F20"/>
        </w:rPr>
        <w:t>The contribution of the urban forest to community quality of life is considerable within the heavily urbanised environment of Marrickville. With a mix of industrial, commercial and residential</w:t>
      </w:r>
    </w:p>
    <w:p>
      <w:pPr>
        <w:pStyle w:val="BodyText"/>
        <w:spacing w:line="348" w:lineRule="auto" w:before="1"/>
        <w:ind w:left="220" w:right="713"/>
      </w:pPr>
      <w:r>
        <w:rPr>
          <w:color w:val="231F20"/>
        </w:rPr>
        <w:t>land uses, the existence of major transport routes and the shift to higher density residential developments, the value of the urban forest increases over time. </w:t>
      </w:r>
      <w:r>
        <w:rPr>
          <w:color w:val="231F20"/>
          <w:spacing w:val="-7"/>
        </w:rPr>
        <w:t>To  </w:t>
      </w:r>
      <w:r>
        <w:rPr>
          <w:color w:val="231F20"/>
        </w:rPr>
        <w:t>best manage a valuable asset      it is essential to  establish it’s value to the community. In relation to the urban forest, the primary  values are</w:t>
      </w:r>
      <w:r>
        <w:rPr>
          <w:color w:val="231F20"/>
          <w:spacing w:val="13"/>
        </w:rPr>
        <w:t> </w:t>
      </w:r>
      <w:r>
        <w:rPr>
          <w:color w:val="231F20"/>
        </w:rPr>
        <w:t>:</w:t>
      </w:r>
    </w:p>
    <w:p>
      <w:pPr>
        <w:pStyle w:val="BodyText"/>
        <w:rPr>
          <w:sz w:val="20"/>
        </w:rPr>
      </w:pPr>
    </w:p>
    <w:p>
      <w:pPr>
        <w:pStyle w:val="BodyText"/>
        <w:spacing w:before="6"/>
        <w:rPr>
          <w:sz w:val="27"/>
        </w:rPr>
      </w:pPr>
    </w:p>
    <w:p>
      <w:pPr>
        <w:pStyle w:val="Heading2"/>
        <w:spacing w:before="1"/>
        <w:ind w:left="220"/>
      </w:pPr>
      <w:r>
        <w:rPr>
          <w:color w:val="231F20"/>
        </w:rPr>
        <w:t>Aesthetic</w:t>
      </w:r>
    </w:p>
    <w:p>
      <w:pPr>
        <w:pStyle w:val="BodyText"/>
        <w:spacing w:before="2"/>
        <w:rPr>
          <w:b/>
          <w:sz w:val="33"/>
        </w:rPr>
      </w:pPr>
    </w:p>
    <w:p>
      <w:pPr>
        <w:pStyle w:val="BodyText"/>
        <w:spacing w:line="348" w:lineRule="auto"/>
        <w:ind w:left="220" w:right="713"/>
      </w:pPr>
      <w:r>
        <w:rPr>
          <w:color w:val="231F20"/>
        </w:rPr>
        <w:t>The urban forest make a substantial contribution to improving the visual amenity of the built environment through:</w:t>
      </w:r>
    </w:p>
    <w:p>
      <w:pPr>
        <w:pStyle w:val="ListParagraph"/>
        <w:numPr>
          <w:ilvl w:val="1"/>
          <w:numId w:val="7"/>
        </w:numPr>
        <w:tabs>
          <w:tab w:pos="703" w:val="left" w:leader="none"/>
        </w:tabs>
        <w:spacing w:line="240" w:lineRule="auto" w:before="1" w:after="0"/>
        <w:ind w:left="702" w:right="0" w:hanging="142"/>
        <w:jc w:val="left"/>
        <w:rPr>
          <w:sz w:val="18"/>
        </w:rPr>
      </w:pPr>
      <w:r>
        <w:rPr>
          <w:color w:val="231F20"/>
          <w:sz w:val="18"/>
        </w:rPr>
        <w:t>the intrinsic beauty of</w:t>
      </w:r>
      <w:r>
        <w:rPr>
          <w:color w:val="231F20"/>
          <w:spacing w:val="30"/>
          <w:sz w:val="18"/>
        </w:rPr>
        <w:t> </w:t>
      </w:r>
      <w:r>
        <w:rPr>
          <w:color w:val="231F20"/>
          <w:spacing w:val="1"/>
          <w:sz w:val="18"/>
        </w:rPr>
        <w:t>trees,</w:t>
      </w:r>
    </w:p>
    <w:p>
      <w:pPr>
        <w:pStyle w:val="ListParagraph"/>
        <w:numPr>
          <w:ilvl w:val="1"/>
          <w:numId w:val="7"/>
        </w:numPr>
        <w:tabs>
          <w:tab w:pos="703" w:val="left" w:leader="none"/>
        </w:tabs>
        <w:spacing w:line="240" w:lineRule="auto" w:before="93" w:after="0"/>
        <w:ind w:left="702" w:right="0" w:hanging="142"/>
        <w:jc w:val="left"/>
        <w:rPr>
          <w:sz w:val="18"/>
        </w:rPr>
      </w:pPr>
      <w:r>
        <w:rPr>
          <w:color w:val="231F20"/>
          <w:sz w:val="18"/>
        </w:rPr>
        <w:t>screening of undesirable views, structures and/or</w:t>
      </w:r>
      <w:r>
        <w:rPr>
          <w:color w:val="231F20"/>
          <w:spacing w:val="13"/>
          <w:sz w:val="18"/>
        </w:rPr>
        <w:t> </w:t>
      </w:r>
      <w:r>
        <w:rPr>
          <w:color w:val="231F20"/>
          <w:sz w:val="18"/>
        </w:rPr>
        <w:t>utilities,</w:t>
      </w:r>
    </w:p>
    <w:p>
      <w:pPr>
        <w:pStyle w:val="ListParagraph"/>
        <w:numPr>
          <w:ilvl w:val="1"/>
          <w:numId w:val="7"/>
        </w:numPr>
        <w:tabs>
          <w:tab w:pos="703" w:val="left" w:leader="none"/>
        </w:tabs>
        <w:spacing w:line="240" w:lineRule="auto" w:before="93" w:after="0"/>
        <w:ind w:left="702" w:right="0" w:hanging="142"/>
        <w:jc w:val="left"/>
        <w:rPr>
          <w:sz w:val="18"/>
        </w:rPr>
      </w:pPr>
      <w:r>
        <w:rPr>
          <w:color w:val="231F20"/>
          <w:sz w:val="18"/>
        </w:rPr>
        <w:t>maintaining culturally significant</w:t>
      </w:r>
      <w:r>
        <w:rPr>
          <w:color w:val="231F20"/>
          <w:spacing w:val="25"/>
          <w:sz w:val="18"/>
        </w:rPr>
        <w:t> </w:t>
      </w:r>
      <w:r>
        <w:rPr>
          <w:color w:val="231F20"/>
          <w:sz w:val="18"/>
        </w:rPr>
        <w:t>plantings,</w:t>
      </w:r>
    </w:p>
    <w:p>
      <w:pPr>
        <w:pStyle w:val="ListParagraph"/>
        <w:numPr>
          <w:ilvl w:val="1"/>
          <w:numId w:val="7"/>
        </w:numPr>
        <w:tabs>
          <w:tab w:pos="703" w:val="left" w:leader="none"/>
        </w:tabs>
        <w:spacing w:line="240" w:lineRule="auto" w:before="93" w:after="0"/>
        <w:ind w:left="702" w:right="0" w:hanging="142"/>
        <w:jc w:val="left"/>
        <w:rPr>
          <w:sz w:val="18"/>
        </w:rPr>
      </w:pPr>
      <w:r>
        <w:rPr>
          <w:color w:val="231F20"/>
          <w:sz w:val="18"/>
        </w:rPr>
        <w:t>creating improved spatial relationships (at various</w:t>
      </w:r>
      <w:r>
        <w:rPr>
          <w:color w:val="231F20"/>
          <w:spacing w:val="13"/>
          <w:sz w:val="18"/>
        </w:rPr>
        <w:t> </w:t>
      </w:r>
      <w:r>
        <w:rPr>
          <w:color w:val="231F20"/>
          <w:sz w:val="18"/>
        </w:rPr>
        <w:t>scales),</w:t>
      </w:r>
    </w:p>
    <w:p>
      <w:pPr>
        <w:pStyle w:val="ListParagraph"/>
        <w:numPr>
          <w:ilvl w:val="1"/>
          <w:numId w:val="7"/>
        </w:numPr>
        <w:tabs>
          <w:tab w:pos="703" w:val="left" w:leader="none"/>
        </w:tabs>
        <w:spacing w:line="240" w:lineRule="auto" w:before="93" w:after="0"/>
        <w:ind w:left="702" w:right="0" w:hanging="142"/>
        <w:jc w:val="left"/>
        <w:rPr>
          <w:sz w:val="18"/>
        </w:rPr>
      </w:pPr>
      <w:r>
        <w:rPr>
          <w:color w:val="231F20"/>
          <w:sz w:val="18"/>
        </w:rPr>
        <w:t>creating consistency in outlook and</w:t>
      </w:r>
      <w:r>
        <w:rPr>
          <w:color w:val="231F20"/>
          <w:spacing w:val="38"/>
          <w:sz w:val="18"/>
        </w:rPr>
        <w:t> </w:t>
      </w:r>
      <w:r>
        <w:rPr>
          <w:color w:val="231F20"/>
          <w:spacing w:val="1"/>
          <w:sz w:val="18"/>
        </w:rPr>
        <w:t>vista,</w:t>
      </w:r>
    </w:p>
    <w:p>
      <w:pPr>
        <w:pStyle w:val="ListParagraph"/>
        <w:numPr>
          <w:ilvl w:val="1"/>
          <w:numId w:val="7"/>
        </w:numPr>
        <w:tabs>
          <w:tab w:pos="703" w:val="left" w:leader="none"/>
        </w:tabs>
        <w:spacing w:line="240" w:lineRule="auto" w:before="93" w:after="0"/>
        <w:ind w:left="702" w:right="0" w:hanging="142"/>
        <w:jc w:val="left"/>
        <w:rPr>
          <w:sz w:val="18"/>
        </w:rPr>
      </w:pPr>
      <w:r>
        <w:rPr>
          <w:color w:val="231F20"/>
          <w:sz w:val="18"/>
        </w:rPr>
        <w:t>providing visual diversity and interest,</w:t>
      </w:r>
      <w:r>
        <w:rPr>
          <w:color w:val="231F20"/>
          <w:spacing w:val="40"/>
          <w:sz w:val="18"/>
        </w:rPr>
        <w:t> </w:t>
      </w:r>
      <w:r>
        <w:rPr>
          <w:color w:val="231F20"/>
          <w:spacing w:val="1"/>
          <w:sz w:val="18"/>
        </w:rPr>
        <w:t>and</w:t>
      </w:r>
    </w:p>
    <w:p>
      <w:pPr>
        <w:pStyle w:val="ListParagraph"/>
        <w:numPr>
          <w:ilvl w:val="1"/>
          <w:numId w:val="7"/>
        </w:numPr>
        <w:tabs>
          <w:tab w:pos="703" w:val="left" w:leader="none"/>
        </w:tabs>
        <w:spacing w:line="240" w:lineRule="auto" w:before="93" w:after="0"/>
        <w:ind w:left="702" w:right="0" w:hanging="142"/>
        <w:jc w:val="left"/>
        <w:rPr>
          <w:sz w:val="18"/>
        </w:rPr>
      </w:pPr>
      <w:r>
        <w:rPr>
          <w:color w:val="231F20"/>
          <w:sz w:val="18"/>
        </w:rPr>
        <w:t>softening the urban</w:t>
      </w:r>
      <w:r>
        <w:rPr>
          <w:color w:val="231F20"/>
          <w:spacing w:val="21"/>
          <w:sz w:val="18"/>
        </w:rPr>
        <w:t> </w:t>
      </w:r>
      <w:r>
        <w:rPr>
          <w:color w:val="231F20"/>
          <w:sz w:val="18"/>
        </w:rPr>
        <w:t>fabric.</w:t>
      </w:r>
    </w:p>
    <w:p>
      <w:pPr>
        <w:spacing w:after="0" w:line="240" w:lineRule="auto"/>
        <w:jc w:val="left"/>
        <w:rPr>
          <w:sz w:val="18"/>
        </w:rPr>
        <w:sectPr>
          <w:type w:val="continuous"/>
          <w:pgSz w:w="11910" w:h="16840"/>
          <w:pgMar w:top="1360" w:bottom="280" w:left="460" w:right="440"/>
          <w:cols w:num="2" w:equalWidth="0">
            <w:col w:w="3276" w:space="296"/>
            <w:col w:w="7438"/>
          </w:cols>
        </w:sectPr>
      </w:pPr>
    </w:p>
    <w:p>
      <w:pPr>
        <w:pStyle w:val="BodyText"/>
        <w:rPr>
          <w:sz w:val="20"/>
        </w:rPr>
      </w:pPr>
      <w:r>
        <w:rPr/>
        <w:pict>
          <v:group style="position:absolute;margin-left:22.676901pt;margin-top:28.346714pt;width:530.1pt;height:772.1pt;mso-position-horizontal-relative:page;mso-position-vertical-relative:page;z-index:-95560"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v:shape style="position:absolute;left:4251;top:10308;width:6800;height:5101" type="#_x0000_t75" stroked="false">
              <v:imagedata r:id="rId1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before="100"/>
        <w:ind w:left="3312" w:right="3875" w:firstLine="0"/>
        <w:jc w:val="center"/>
        <w:rPr>
          <w:i/>
          <w:sz w:val="14"/>
        </w:rPr>
      </w:pPr>
      <w:r>
        <w:rPr>
          <w:b/>
          <w:i/>
          <w:color w:val="231F20"/>
          <w:sz w:val="14"/>
        </w:rPr>
        <w:t>Figure 3. </w:t>
      </w:r>
      <w:r>
        <w:rPr>
          <w:i/>
          <w:color w:val="231F20"/>
          <w:sz w:val="14"/>
        </w:rPr>
        <w:t>Jacarandas, Cardigan Street, Camperdown</w:t>
      </w:r>
    </w:p>
    <w:p>
      <w:pPr>
        <w:spacing w:after="0"/>
        <w:jc w:val="center"/>
        <w:rPr>
          <w:sz w:val="14"/>
        </w:rPr>
        <w:sectPr>
          <w:type w:val="continuous"/>
          <w:pgSz w:w="11910" w:h="16840"/>
          <w:pgMar w:top="1360" w:bottom="280" w:left="460" w:right="440"/>
        </w:sectPr>
      </w:pPr>
    </w:p>
    <w:p>
      <w:pPr>
        <w:pStyle w:val="BodyText"/>
        <w:rPr>
          <w:i/>
          <w:sz w:val="20"/>
        </w:rPr>
      </w:pPr>
      <w:r>
        <w:rPr/>
        <w:pict>
          <v:group style="position:absolute;margin-left:42.52pt;margin-top:28.919714pt;width:524.450pt;height:771.55pt;mso-position-horizontal-relative:page;mso-position-vertical-relative:page;z-index:-95512"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v:shape style="position:absolute;left:850;top:10320;width:6804;height:5101" type="#_x0000_t75" stroked="false">
              <v:imagedata r:id="rId18" o:title=""/>
            </v:shape>
            <w10:wrap type="none"/>
          </v:group>
        </w:pict>
      </w:r>
    </w:p>
    <w:p>
      <w:pPr>
        <w:spacing w:before="216"/>
        <w:ind w:left="0" w:right="966" w:firstLine="0"/>
        <w:jc w:val="right"/>
        <w:rPr>
          <w:i/>
          <w:sz w:val="24"/>
        </w:rPr>
      </w:pPr>
      <w:r>
        <w:rPr/>
        <w:pict>
          <v:shape style="position:absolute;margin-left:539.369202pt;margin-top:-7.862083pt;width:21.9pt;height:55.1pt;mso-position-horizontal-relative:page;mso-position-vertical-relative:paragraph;z-index:1456" type="#_x0000_t202" filled="false" stroked="false">
            <v:textbox inset="0,0,0,0">
              <w:txbxContent>
                <w:p>
                  <w:pPr>
                    <w:spacing w:line="1100" w:lineRule="exact" w:before="0"/>
                    <w:ind w:left="0" w:right="0" w:firstLine="0"/>
                    <w:jc w:val="left"/>
                    <w:rPr>
                      <w:b/>
                      <w:sz w:val="96"/>
                    </w:rPr>
                  </w:pPr>
                  <w:r>
                    <w:rPr>
                      <w:b/>
                      <w:color w:val="808285"/>
                      <w:sz w:val="96"/>
                    </w:rPr>
                    <w:t>2</w:t>
                  </w:r>
                </w:p>
              </w:txbxContent>
            </v:textbox>
            <w10:wrap type="none"/>
          </v:shape>
        </w:pict>
      </w:r>
      <w:r>
        <w:rPr>
          <w:i/>
          <w:color w:val="231F20"/>
          <w:sz w:val="24"/>
        </w:rPr>
        <w:t>Marrickville Council</w:t>
      </w:r>
    </w:p>
    <w:p>
      <w:pPr>
        <w:spacing w:before="25"/>
        <w:ind w:left="0" w:right="964" w:firstLine="0"/>
        <w:jc w:val="righ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390" w:right="0" w:firstLine="0"/>
        <w:jc w:val="left"/>
        <w:rPr>
          <w:b/>
          <w:sz w:val="24"/>
        </w:rPr>
      </w:pPr>
      <w:r>
        <w:rPr>
          <w:b/>
          <w:color w:val="231F20"/>
          <w:sz w:val="24"/>
        </w:rPr>
        <w:t>Community</w:t>
      </w:r>
    </w:p>
    <w:p>
      <w:pPr>
        <w:pStyle w:val="BodyText"/>
        <w:spacing w:before="2"/>
        <w:rPr>
          <w:b/>
          <w:sz w:val="33"/>
        </w:rPr>
      </w:pPr>
    </w:p>
    <w:p>
      <w:pPr>
        <w:pStyle w:val="BodyText"/>
        <w:ind w:left="390"/>
      </w:pPr>
      <w:r>
        <w:rPr>
          <w:color w:val="231F20"/>
        </w:rPr>
        <w:t>The Urban Forest is integral to community wellbeing through:</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the</w:t>
      </w:r>
      <w:r>
        <w:rPr>
          <w:color w:val="231F20"/>
          <w:spacing w:val="7"/>
          <w:sz w:val="18"/>
        </w:rPr>
        <w:t> </w:t>
      </w:r>
      <w:r>
        <w:rPr>
          <w:color w:val="231F20"/>
          <w:sz w:val="18"/>
        </w:rPr>
        <w:t>creation</w:t>
      </w:r>
      <w:r>
        <w:rPr>
          <w:color w:val="231F20"/>
          <w:spacing w:val="7"/>
          <w:sz w:val="18"/>
        </w:rPr>
        <w:t> </w:t>
      </w:r>
      <w:r>
        <w:rPr>
          <w:color w:val="231F20"/>
          <w:sz w:val="18"/>
        </w:rPr>
        <w:t>of</w:t>
      </w:r>
      <w:r>
        <w:rPr>
          <w:color w:val="231F20"/>
          <w:spacing w:val="7"/>
          <w:sz w:val="18"/>
        </w:rPr>
        <w:t> </w:t>
      </w:r>
      <w:r>
        <w:rPr>
          <w:color w:val="231F20"/>
          <w:sz w:val="18"/>
        </w:rPr>
        <w:t>a</w:t>
      </w:r>
      <w:r>
        <w:rPr>
          <w:color w:val="231F20"/>
          <w:spacing w:val="7"/>
          <w:sz w:val="18"/>
        </w:rPr>
        <w:t> </w:t>
      </w:r>
      <w:r>
        <w:rPr>
          <w:color w:val="231F20"/>
          <w:sz w:val="18"/>
        </w:rPr>
        <w:t>positive</w:t>
      </w:r>
      <w:r>
        <w:rPr>
          <w:color w:val="231F20"/>
          <w:spacing w:val="7"/>
          <w:sz w:val="18"/>
        </w:rPr>
        <w:t> </w:t>
      </w:r>
      <w:r>
        <w:rPr>
          <w:color w:val="231F20"/>
          <w:sz w:val="18"/>
        </w:rPr>
        <w:t>and</w:t>
      </w:r>
      <w:r>
        <w:rPr>
          <w:color w:val="231F20"/>
          <w:spacing w:val="7"/>
          <w:sz w:val="18"/>
        </w:rPr>
        <w:t> </w:t>
      </w:r>
      <w:r>
        <w:rPr>
          <w:color w:val="231F20"/>
          <w:sz w:val="18"/>
        </w:rPr>
        <w:t>pleasant</w:t>
      </w:r>
      <w:r>
        <w:rPr>
          <w:color w:val="231F20"/>
          <w:spacing w:val="7"/>
          <w:sz w:val="18"/>
        </w:rPr>
        <w:t> </w:t>
      </w:r>
      <w:r>
        <w:rPr>
          <w:color w:val="231F20"/>
          <w:sz w:val="18"/>
        </w:rPr>
        <w:t>community</w:t>
      </w:r>
      <w:r>
        <w:rPr>
          <w:color w:val="231F20"/>
          <w:spacing w:val="7"/>
          <w:sz w:val="18"/>
        </w:rPr>
        <w:t> </w:t>
      </w:r>
      <w:r>
        <w:rPr>
          <w:color w:val="231F20"/>
          <w:sz w:val="18"/>
        </w:rPr>
        <w:t>identity</w:t>
      </w:r>
      <w:r>
        <w:rPr>
          <w:color w:val="231F20"/>
          <w:spacing w:val="7"/>
          <w:sz w:val="18"/>
        </w:rPr>
        <w:t> </w:t>
      </w:r>
      <w:r>
        <w:rPr>
          <w:color w:val="231F20"/>
          <w:sz w:val="18"/>
        </w:rPr>
        <w:t>for</w:t>
      </w:r>
      <w:r>
        <w:rPr>
          <w:color w:val="231F20"/>
          <w:spacing w:val="7"/>
          <w:sz w:val="18"/>
        </w:rPr>
        <w:t> </w:t>
      </w:r>
      <w:r>
        <w:rPr>
          <w:color w:val="231F20"/>
          <w:sz w:val="18"/>
        </w:rPr>
        <w:t>all</w:t>
      </w:r>
      <w:r>
        <w:rPr>
          <w:color w:val="231F20"/>
          <w:spacing w:val="7"/>
          <w:sz w:val="18"/>
        </w:rPr>
        <w:t> </w:t>
      </w:r>
      <w:r>
        <w:rPr>
          <w:color w:val="231F20"/>
          <w:sz w:val="18"/>
        </w:rPr>
        <w:t>(social</w:t>
      </w:r>
      <w:r>
        <w:rPr>
          <w:color w:val="231F20"/>
          <w:spacing w:val="7"/>
          <w:sz w:val="18"/>
        </w:rPr>
        <w:t> </w:t>
      </w:r>
      <w:r>
        <w:rPr>
          <w:color w:val="231F20"/>
          <w:sz w:val="18"/>
        </w:rPr>
        <w:t>justice),</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marking</w:t>
      </w:r>
      <w:r>
        <w:rPr>
          <w:color w:val="231F20"/>
          <w:spacing w:val="7"/>
          <w:sz w:val="18"/>
        </w:rPr>
        <w:t> </w:t>
      </w:r>
      <w:r>
        <w:rPr>
          <w:color w:val="231F20"/>
          <w:sz w:val="18"/>
        </w:rPr>
        <w:t>seasonal</w:t>
      </w:r>
      <w:r>
        <w:rPr>
          <w:color w:val="231F20"/>
          <w:spacing w:val="7"/>
          <w:sz w:val="18"/>
        </w:rPr>
        <w:t> </w:t>
      </w:r>
      <w:r>
        <w:rPr>
          <w:color w:val="231F20"/>
          <w:sz w:val="18"/>
        </w:rPr>
        <w:t>change</w:t>
      </w:r>
      <w:r>
        <w:rPr>
          <w:color w:val="231F20"/>
          <w:spacing w:val="7"/>
          <w:sz w:val="18"/>
        </w:rPr>
        <w:t> </w:t>
      </w:r>
      <w:r>
        <w:rPr>
          <w:color w:val="231F20"/>
          <w:sz w:val="18"/>
        </w:rPr>
        <w:t>and</w:t>
      </w:r>
      <w:r>
        <w:rPr>
          <w:color w:val="231F20"/>
          <w:spacing w:val="7"/>
          <w:sz w:val="18"/>
        </w:rPr>
        <w:t> </w:t>
      </w:r>
      <w:r>
        <w:rPr>
          <w:color w:val="231F20"/>
          <w:sz w:val="18"/>
        </w:rPr>
        <w:t>regeneration</w:t>
      </w:r>
      <w:r>
        <w:rPr>
          <w:color w:val="231F20"/>
          <w:spacing w:val="7"/>
          <w:sz w:val="18"/>
        </w:rPr>
        <w:t> </w:t>
      </w:r>
      <w:r>
        <w:rPr>
          <w:color w:val="231F20"/>
          <w:sz w:val="18"/>
        </w:rPr>
        <w:t>(spiritual</w:t>
      </w:r>
      <w:r>
        <w:rPr>
          <w:color w:val="231F20"/>
          <w:spacing w:val="7"/>
          <w:sz w:val="18"/>
        </w:rPr>
        <w:t> </w:t>
      </w:r>
      <w:r>
        <w:rPr>
          <w:color w:val="231F20"/>
          <w:sz w:val="18"/>
        </w:rPr>
        <w:t>and</w:t>
      </w:r>
      <w:r>
        <w:rPr>
          <w:color w:val="231F20"/>
          <w:spacing w:val="7"/>
          <w:sz w:val="18"/>
        </w:rPr>
        <w:t> </w:t>
      </w:r>
      <w:r>
        <w:rPr>
          <w:color w:val="231F20"/>
          <w:sz w:val="18"/>
        </w:rPr>
        <w:t>cultural</w:t>
      </w:r>
      <w:r>
        <w:rPr>
          <w:color w:val="231F20"/>
          <w:spacing w:val="7"/>
          <w:sz w:val="18"/>
        </w:rPr>
        <w:t> </w:t>
      </w:r>
      <w:r>
        <w:rPr>
          <w:color w:val="231F20"/>
          <w:spacing w:val="1"/>
          <w:sz w:val="18"/>
        </w:rPr>
        <w:t>attachment),</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addressing local environmental issues and action (Agenda</w:t>
      </w:r>
      <w:r>
        <w:rPr>
          <w:color w:val="231F20"/>
          <w:spacing w:val="15"/>
          <w:sz w:val="18"/>
        </w:rPr>
        <w:t> </w:t>
      </w:r>
      <w:r>
        <w:rPr>
          <w:color w:val="231F20"/>
          <w:sz w:val="18"/>
        </w:rPr>
        <w:t>21),</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addressing</w:t>
      </w:r>
      <w:r>
        <w:rPr>
          <w:color w:val="231F20"/>
          <w:spacing w:val="7"/>
          <w:sz w:val="18"/>
        </w:rPr>
        <w:t> </w:t>
      </w:r>
      <w:r>
        <w:rPr>
          <w:color w:val="231F20"/>
          <w:sz w:val="18"/>
        </w:rPr>
        <w:t>“Green”</w:t>
      </w:r>
      <w:r>
        <w:rPr>
          <w:color w:val="231F20"/>
          <w:spacing w:val="7"/>
          <w:sz w:val="18"/>
        </w:rPr>
        <w:t> </w:t>
      </w:r>
      <w:r>
        <w:rPr>
          <w:color w:val="231F20"/>
          <w:sz w:val="18"/>
        </w:rPr>
        <w:t>living</w:t>
      </w:r>
      <w:r>
        <w:rPr>
          <w:color w:val="231F20"/>
          <w:spacing w:val="7"/>
          <w:sz w:val="18"/>
        </w:rPr>
        <w:t> </w:t>
      </w:r>
      <w:r>
        <w:rPr>
          <w:color w:val="231F20"/>
          <w:sz w:val="18"/>
        </w:rPr>
        <w:t>environmental</w:t>
      </w:r>
      <w:r>
        <w:rPr>
          <w:color w:val="231F20"/>
          <w:spacing w:val="7"/>
          <w:sz w:val="18"/>
        </w:rPr>
        <w:t> </w:t>
      </w:r>
      <w:r>
        <w:rPr>
          <w:color w:val="231F20"/>
          <w:sz w:val="18"/>
        </w:rPr>
        <w:t>principles</w:t>
      </w:r>
      <w:r>
        <w:rPr>
          <w:color w:val="231F20"/>
          <w:spacing w:val="7"/>
          <w:sz w:val="18"/>
        </w:rPr>
        <w:t> </w:t>
      </w:r>
      <w:r>
        <w:rPr>
          <w:color w:val="231F20"/>
          <w:sz w:val="18"/>
        </w:rPr>
        <w:t>with</w:t>
      </w:r>
      <w:r>
        <w:rPr>
          <w:color w:val="231F20"/>
          <w:spacing w:val="7"/>
          <w:sz w:val="18"/>
        </w:rPr>
        <w:t> </w:t>
      </w:r>
      <w:r>
        <w:rPr>
          <w:color w:val="231F20"/>
          <w:sz w:val="18"/>
        </w:rPr>
        <w:t>functional</w:t>
      </w:r>
      <w:r>
        <w:rPr>
          <w:color w:val="231F20"/>
          <w:spacing w:val="7"/>
          <w:sz w:val="18"/>
        </w:rPr>
        <w:t> </w:t>
      </w:r>
      <w:r>
        <w:rPr>
          <w:color w:val="231F20"/>
          <w:sz w:val="18"/>
        </w:rPr>
        <w:t>applications,</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a safe and secure living environment,</w:t>
      </w:r>
      <w:r>
        <w:rPr>
          <w:color w:val="231F20"/>
          <w:spacing w:val="2"/>
          <w:sz w:val="18"/>
        </w:rPr>
        <w:t> </w:t>
      </w:r>
      <w:r>
        <w:rPr>
          <w:color w:val="231F20"/>
          <w:spacing w:val="1"/>
          <w:sz w:val="18"/>
        </w:rPr>
        <w:t>and</w:t>
      </w:r>
    </w:p>
    <w:p>
      <w:pPr>
        <w:pStyle w:val="ListParagraph"/>
        <w:numPr>
          <w:ilvl w:val="2"/>
          <w:numId w:val="7"/>
        </w:numPr>
        <w:tabs>
          <w:tab w:pos="873" w:val="left" w:leader="none"/>
        </w:tabs>
        <w:spacing w:line="278" w:lineRule="auto" w:before="93" w:after="0"/>
        <w:ind w:left="872" w:right="4057" w:hanging="142"/>
        <w:jc w:val="left"/>
        <w:rPr>
          <w:sz w:val="18"/>
        </w:rPr>
      </w:pPr>
      <w:r>
        <w:rPr>
          <w:color w:val="231F20"/>
          <w:sz w:val="18"/>
        </w:rPr>
        <w:t>providing an avenue for environmental education for both the community as a whole </w:t>
      </w:r>
      <w:r>
        <w:rPr>
          <w:color w:val="231F20"/>
          <w:spacing w:val="1"/>
          <w:sz w:val="18"/>
        </w:rPr>
        <w:t>and </w:t>
      </w:r>
      <w:r>
        <w:rPr>
          <w:color w:val="231F20"/>
          <w:sz w:val="18"/>
        </w:rPr>
        <w:t>children’s environmental</w:t>
      </w:r>
      <w:r>
        <w:rPr>
          <w:color w:val="231F20"/>
          <w:spacing w:val="15"/>
          <w:sz w:val="18"/>
        </w:rPr>
        <w:t> </w:t>
      </w:r>
      <w:r>
        <w:rPr>
          <w:color w:val="231F20"/>
          <w:spacing w:val="1"/>
          <w:sz w:val="18"/>
        </w:rPr>
        <w:t>development.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spacing w:before="100"/>
        <w:ind w:left="390" w:right="0" w:firstLine="0"/>
        <w:jc w:val="left"/>
        <w:rPr>
          <w:i/>
          <w:sz w:val="14"/>
        </w:rPr>
      </w:pPr>
      <w:r>
        <w:rPr>
          <w:b/>
          <w:i/>
          <w:color w:val="231F20"/>
          <w:sz w:val="14"/>
        </w:rPr>
        <w:t>Figure 4. </w:t>
      </w:r>
      <w:r>
        <w:rPr>
          <w:i/>
          <w:color w:val="231F20"/>
          <w:sz w:val="14"/>
        </w:rPr>
        <w:t>Community usage of parks</w:t>
      </w:r>
    </w:p>
    <w:p>
      <w:pPr>
        <w:spacing w:after="0"/>
        <w:jc w:val="left"/>
        <w:rPr>
          <w:sz w:val="14"/>
        </w:rPr>
        <w:sectPr>
          <w:pgSz w:w="11910" w:h="16840"/>
          <w:pgMar w:header="0" w:footer="779" w:top="920" w:bottom="960" w:left="460" w:right="440"/>
        </w:sectPr>
      </w:pPr>
    </w:p>
    <w:p>
      <w:pPr>
        <w:pStyle w:val="BodyText"/>
        <w:rPr>
          <w:i/>
          <w:sz w:val="20"/>
        </w:rPr>
      </w:pPr>
      <w:r>
        <w:rPr/>
        <w:pict>
          <v:group style="position:absolute;margin-left:22.676901pt;margin-top:28.346714pt;width:530.1pt;height:772.1pt;mso-position-horizontal-relative:page;mso-position-vertical-relative:page;z-index:-95464"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v:shape style="position:absolute;left:4251;top:10920;width:6804;height:4500" type="#_x0000_t75" stroked="false">
              <v:imagedata r:id="rId19" o:title=""/>
            </v:shape>
            <w10:wrap type="none"/>
          </v:group>
        </w:pict>
      </w:r>
    </w:p>
    <w:p>
      <w:pPr>
        <w:spacing w:before="216"/>
        <w:ind w:left="1347" w:right="0" w:firstLine="0"/>
        <w:jc w:val="left"/>
        <w:rPr>
          <w:i/>
          <w:sz w:val="24"/>
        </w:rPr>
      </w:pPr>
      <w:r>
        <w:rPr/>
        <w:pict>
          <v:shape style="position:absolute;margin-left:34.015701pt;margin-top:-7.862083pt;width:21.9pt;height:55.1pt;mso-position-horizontal-relative:page;mso-position-vertical-relative:paragraph;z-index:1504" type="#_x0000_t202" filled="false" stroked="false">
            <v:textbox inset="0,0,0,0">
              <w:txbxContent>
                <w:p>
                  <w:pPr>
                    <w:spacing w:line="1100" w:lineRule="exact" w:before="0"/>
                    <w:ind w:left="0" w:right="0" w:firstLine="0"/>
                    <w:jc w:val="left"/>
                    <w:rPr>
                      <w:b/>
                      <w:sz w:val="96"/>
                    </w:rPr>
                  </w:pPr>
                  <w:r>
                    <w:rPr>
                      <w:b/>
                      <w:color w:val="808285"/>
                      <w:sz w:val="96"/>
                    </w:rPr>
                    <w:t>2</w:t>
                  </w:r>
                </w:p>
              </w:txbxContent>
            </v:textbox>
            <w10:wrap type="none"/>
          </v:shape>
        </w:pict>
      </w:r>
      <w:r>
        <w:rPr>
          <w:i/>
          <w:color w:val="231F20"/>
          <w:sz w:val="24"/>
        </w:rPr>
        <w:t>Marrickville Council</w:t>
      </w:r>
    </w:p>
    <w:p>
      <w:pPr>
        <w:spacing w:before="25"/>
        <w:ind w:left="966" w:right="0" w:firstLine="0"/>
        <w:jc w:val="lef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1823" w:right="3875" w:firstLine="0"/>
        <w:jc w:val="center"/>
        <w:rPr>
          <w:b/>
          <w:sz w:val="24"/>
        </w:rPr>
      </w:pPr>
      <w:r>
        <w:rPr>
          <w:b/>
          <w:color w:val="231F20"/>
          <w:sz w:val="24"/>
        </w:rPr>
        <w:t>Environmental</w:t>
      </w:r>
    </w:p>
    <w:p>
      <w:pPr>
        <w:pStyle w:val="BodyText"/>
        <w:spacing w:before="2"/>
        <w:rPr>
          <w:b/>
          <w:sz w:val="33"/>
        </w:rPr>
      </w:pPr>
    </w:p>
    <w:p>
      <w:pPr>
        <w:pStyle w:val="BodyText"/>
        <w:ind w:left="1929" w:right="449"/>
        <w:jc w:val="center"/>
      </w:pPr>
      <w:r>
        <w:rPr>
          <w:color w:val="231F20"/>
        </w:rPr>
        <w:t>The Urban Forest contributes to the Marrickville's environment through:</w:t>
      </w:r>
    </w:p>
    <w:p>
      <w:pPr>
        <w:pStyle w:val="ListParagraph"/>
        <w:numPr>
          <w:ilvl w:val="3"/>
          <w:numId w:val="7"/>
        </w:numPr>
        <w:tabs>
          <w:tab w:pos="4274" w:val="left" w:leader="none"/>
        </w:tabs>
        <w:spacing w:line="240" w:lineRule="auto" w:before="93" w:after="0"/>
        <w:ind w:left="4273" w:right="0" w:hanging="141"/>
        <w:jc w:val="left"/>
        <w:rPr>
          <w:sz w:val="18"/>
        </w:rPr>
      </w:pPr>
      <w:r>
        <w:rPr>
          <w:color w:val="231F20"/>
          <w:sz w:val="18"/>
        </w:rPr>
        <w:t>providing</w:t>
      </w:r>
      <w:r>
        <w:rPr>
          <w:color w:val="231F20"/>
          <w:spacing w:val="8"/>
          <w:sz w:val="18"/>
        </w:rPr>
        <w:t> </w:t>
      </w:r>
      <w:r>
        <w:rPr>
          <w:color w:val="231F20"/>
          <w:sz w:val="18"/>
        </w:rPr>
        <w:t>shade</w:t>
      </w:r>
      <w:r>
        <w:rPr>
          <w:color w:val="231F20"/>
          <w:spacing w:val="8"/>
          <w:sz w:val="18"/>
        </w:rPr>
        <w:t> </w:t>
      </w:r>
      <w:r>
        <w:rPr>
          <w:color w:val="231F20"/>
          <w:sz w:val="18"/>
        </w:rPr>
        <w:t>that</w:t>
      </w:r>
      <w:r>
        <w:rPr>
          <w:color w:val="231F20"/>
          <w:spacing w:val="8"/>
          <w:sz w:val="18"/>
        </w:rPr>
        <w:t> </w:t>
      </w:r>
      <w:r>
        <w:rPr>
          <w:color w:val="231F20"/>
          <w:sz w:val="18"/>
        </w:rPr>
        <w:t>reduces</w:t>
      </w:r>
      <w:r>
        <w:rPr>
          <w:color w:val="231F20"/>
          <w:spacing w:val="8"/>
          <w:sz w:val="18"/>
        </w:rPr>
        <w:t> </w:t>
      </w:r>
      <w:r>
        <w:rPr>
          <w:color w:val="231F20"/>
          <w:sz w:val="18"/>
        </w:rPr>
        <w:t>the</w:t>
      </w:r>
      <w:r>
        <w:rPr>
          <w:color w:val="231F20"/>
          <w:spacing w:val="8"/>
          <w:sz w:val="18"/>
        </w:rPr>
        <w:t> </w:t>
      </w:r>
      <w:r>
        <w:rPr>
          <w:color w:val="231F20"/>
          <w:sz w:val="18"/>
        </w:rPr>
        <w:t>impact</w:t>
      </w:r>
      <w:r>
        <w:rPr>
          <w:color w:val="231F20"/>
          <w:spacing w:val="8"/>
          <w:sz w:val="18"/>
        </w:rPr>
        <w:t> </w:t>
      </w:r>
      <w:r>
        <w:rPr>
          <w:color w:val="231F20"/>
          <w:sz w:val="18"/>
        </w:rPr>
        <w:t>of</w:t>
      </w:r>
      <w:r>
        <w:rPr>
          <w:color w:val="231F20"/>
          <w:spacing w:val="8"/>
          <w:sz w:val="18"/>
        </w:rPr>
        <w:t> </w:t>
      </w:r>
      <w:r>
        <w:rPr>
          <w:color w:val="231F20"/>
          <w:sz w:val="18"/>
        </w:rPr>
        <w:t>UV</w:t>
      </w:r>
      <w:r>
        <w:rPr>
          <w:color w:val="231F20"/>
          <w:spacing w:val="8"/>
          <w:sz w:val="18"/>
        </w:rPr>
        <w:t> </w:t>
      </w:r>
      <w:r>
        <w:rPr>
          <w:color w:val="231F20"/>
          <w:sz w:val="18"/>
        </w:rPr>
        <w:t>solar</w:t>
      </w:r>
      <w:r>
        <w:rPr>
          <w:color w:val="231F20"/>
          <w:spacing w:val="8"/>
          <w:sz w:val="18"/>
        </w:rPr>
        <w:t> </w:t>
      </w:r>
      <w:r>
        <w:rPr>
          <w:color w:val="231F20"/>
          <w:sz w:val="18"/>
        </w:rPr>
        <w:t>radiation</w:t>
      </w:r>
      <w:r>
        <w:rPr>
          <w:color w:val="231F20"/>
          <w:spacing w:val="8"/>
          <w:sz w:val="18"/>
        </w:rPr>
        <w:t> </w:t>
      </w:r>
      <w:r>
        <w:rPr>
          <w:color w:val="231F20"/>
          <w:sz w:val="18"/>
        </w:rPr>
        <w:t>and</w:t>
      </w:r>
      <w:r>
        <w:rPr>
          <w:color w:val="231F20"/>
          <w:spacing w:val="8"/>
          <w:sz w:val="18"/>
        </w:rPr>
        <w:t> </w:t>
      </w:r>
      <w:r>
        <w:rPr>
          <w:color w:val="231F20"/>
          <w:spacing w:val="1"/>
          <w:sz w:val="18"/>
        </w:rPr>
        <w:t>glare,</w:t>
      </w:r>
    </w:p>
    <w:p>
      <w:pPr>
        <w:pStyle w:val="ListParagraph"/>
        <w:numPr>
          <w:ilvl w:val="3"/>
          <w:numId w:val="7"/>
        </w:numPr>
        <w:tabs>
          <w:tab w:pos="4274" w:val="left" w:leader="none"/>
        </w:tabs>
        <w:spacing w:line="240" w:lineRule="auto" w:before="93" w:after="0"/>
        <w:ind w:left="4273" w:right="0" w:hanging="141"/>
        <w:jc w:val="left"/>
        <w:rPr>
          <w:sz w:val="18"/>
        </w:rPr>
      </w:pPr>
      <w:r>
        <w:rPr>
          <w:color w:val="231F20"/>
          <w:sz w:val="18"/>
        </w:rPr>
        <w:t>point of contact soil and water</w:t>
      </w:r>
      <w:r>
        <w:rPr>
          <w:color w:val="231F20"/>
          <w:spacing w:val="6"/>
          <w:sz w:val="18"/>
        </w:rPr>
        <w:t> </w:t>
      </w:r>
      <w:r>
        <w:rPr>
          <w:color w:val="231F20"/>
          <w:sz w:val="18"/>
        </w:rPr>
        <w:t>management</w:t>
      </w:r>
    </w:p>
    <w:p>
      <w:pPr>
        <w:pStyle w:val="ListParagraph"/>
        <w:numPr>
          <w:ilvl w:val="3"/>
          <w:numId w:val="7"/>
        </w:numPr>
        <w:tabs>
          <w:tab w:pos="4274" w:val="left" w:leader="none"/>
        </w:tabs>
        <w:spacing w:line="240" w:lineRule="auto" w:before="93" w:after="0"/>
        <w:ind w:left="4273" w:right="0" w:hanging="141"/>
        <w:jc w:val="left"/>
        <w:rPr>
          <w:sz w:val="18"/>
        </w:rPr>
      </w:pPr>
      <w:r>
        <w:rPr>
          <w:color w:val="231F20"/>
          <w:sz w:val="18"/>
        </w:rPr>
        <w:t>improvements</w:t>
      </w:r>
      <w:r>
        <w:rPr>
          <w:color w:val="231F20"/>
          <w:spacing w:val="10"/>
          <w:sz w:val="18"/>
        </w:rPr>
        <w:t> </w:t>
      </w:r>
      <w:r>
        <w:rPr>
          <w:color w:val="231F20"/>
          <w:sz w:val="18"/>
        </w:rPr>
        <w:t>to</w:t>
      </w:r>
      <w:r>
        <w:rPr>
          <w:color w:val="231F20"/>
          <w:spacing w:val="10"/>
          <w:sz w:val="18"/>
        </w:rPr>
        <w:t> </w:t>
      </w:r>
      <w:r>
        <w:rPr>
          <w:color w:val="231F20"/>
          <w:sz w:val="18"/>
        </w:rPr>
        <w:t>microclimate,</w:t>
      </w:r>
      <w:r>
        <w:rPr>
          <w:color w:val="231F20"/>
          <w:spacing w:val="10"/>
          <w:sz w:val="18"/>
        </w:rPr>
        <w:t> </w:t>
      </w:r>
      <w:r>
        <w:rPr>
          <w:color w:val="231F20"/>
          <w:sz w:val="18"/>
        </w:rPr>
        <w:t>through</w:t>
      </w:r>
      <w:r>
        <w:rPr>
          <w:color w:val="231F20"/>
          <w:spacing w:val="10"/>
          <w:sz w:val="18"/>
        </w:rPr>
        <w:t> </w:t>
      </w:r>
      <w:r>
        <w:rPr>
          <w:color w:val="231F20"/>
          <w:sz w:val="18"/>
        </w:rPr>
        <w:t>evapotranspiration</w:t>
      </w:r>
      <w:r>
        <w:rPr>
          <w:color w:val="231F20"/>
          <w:spacing w:val="10"/>
          <w:sz w:val="18"/>
        </w:rPr>
        <w:t> </w:t>
      </w:r>
      <w:r>
        <w:rPr>
          <w:color w:val="231F20"/>
          <w:sz w:val="18"/>
        </w:rPr>
        <w:t>&amp;</w:t>
      </w:r>
      <w:r>
        <w:rPr>
          <w:color w:val="231F20"/>
          <w:spacing w:val="10"/>
          <w:sz w:val="18"/>
        </w:rPr>
        <w:t> </w:t>
      </w:r>
      <w:r>
        <w:rPr>
          <w:color w:val="231F20"/>
          <w:sz w:val="18"/>
        </w:rPr>
        <w:t>shading,</w:t>
      </w:r>
    </w:p>
    <w:p>
      <w:pPr>
        <w:pStyle w:val="ListParagraph"/>
        <w:numPr>
          <w:ilvl w:val="3"/>
          <w:numId w:val="7"/>
        </w:numPr>
        <w:tabs>
          <w:tab w:pos="4274" w:val="left" w:leader="none"/>
        </w:tabs>
        <w:spacing w:line="240" w:lineRule="auto" w:before="93" w:after="0"/>
        <w:ind w:left="4273" w:right="618" w:hanging="141"/>
        <w:jc w:val="left"/>
        <w:rPr>
          <w:sz w:val="18"/>
        </w:rPr>
      </w:pPr>
      <w:r>
        <w:rPr>
          <w:color w:val="231F20"/>
          <w:sz w:val="18"/>
        </w:rPr>
        <w:t>protection from rain and</w:t>
      </w:r>
      <w:r>
        <w:rPr>
          <w:color w:val="231F20"/>
          <w:spacing w:val="30"/>
          <w:sz w:val="18"/>
        </w:rPr>
        <w:t> </w:t>
      </w:r>
      <w:r>
        <w:rPr>
          <w:color w:val="231F20"/>
          <w:sz w:val="18"/>
        </w:rPr>
        <w:t>hail,</w:t>
      </w:r>
    </w:p>
    <w:p>
      <w:pPr>
        <w:pStyle w:val="ListParagraph"/>
        <w:numPr>
          <w:ilvl w:val="3"/>
          <w:numId w:val="7"/>
        </w:numPr>
        <w:tabs>
          <w:tab w:pos="4274" w:val="left" w:leader="none"/>
        </w:tabs>
        <w:spacing w:line="240" w:lineRule="auto" w:before="93" w:after="0"/>
        <w:ind w:left="4273" w:right="0" w:hanging="141"/>
        <w:jc w:val="left"/>
        <w:rPr>
          <w:sz w:val="18"/>
        </w:rPr>
      </w:pPr>
      <w:r>
        <w:rPr>
          <w:color w:val="231F20"/>
          <w:sz w:val="18"/>
        </w:rPr>
        <w:t>reduction</w:t>
      </w:r>
      <w:r>
        <w:rPr>
          <w:color w:val="231F20"/>
          <w:spacing w:val="7"/>
          <w:sz w:val="18"/>
        </w:rPr>
        <w:t> </w:t>
      </w:r>
      <w:r>
        <w:rPr>
          <w:color w:val="231F20"/>
          <w:sz w:val="18"/>
        </w:rPr>
        <w:t>of</w:t>
      </w:r>
      <w:r>
        <w:rPr>
          <w:color w:val="231F20"/>
          <w:spacing w:val="7"/>
          <w:sz w:val="18"/>
        </w:rPr>
        <w:t> </w:t>
      </w:r>
      <w:r>
        <w:rPr>
          <w:color w:val="231F20"/>
          <w:sz w:val="18"/>
        </w:rPr>
        <w:t>water</w:t>
      </w:r>
      <w:r>
        <w:rPr>
          <w:color w:val="231F20"/>
          <w:spacing w:val="7"/>
          <w:sz w:val="18"/>
        </w:rPr>
        <w:t> </w:t>
      </w:r>
      <w:r>
        <w:rPr>
          <w:color w:val="231F20"/>
          <w:sz w:val="18"/>
        </w:rPr>
        <w:t>borne</w:t>
      </w:r>
      <w:r>
        <w:rPr>
          <w:color w:val="231F20"/>
          <w:spacing w:val="7"/>
          <w:sz w:val="18"/>
        </w:rPr>
        <w:t> </w:t>
      </w:r>
      <w:r>
        <w:rPr>
          <w:color w:val="231F20"/>
          <w:sz w:val="18"/>
        </w:rPr>
        <w:t>pollutants</w:t>
      </w:r>
      <w:r>
        <w:rPr>
          <w:color w:val="231F20"/>
          <w:spacing w:val="7"/>
          <w:sz w:val="18"/>
        </w:rPr>
        <w:t> </w:t>
      </w:r>
      <w:r>
        <w:rPr>
          <w:color w:val="231F20"/>
          <w:sz w:val="18"/>
        </w:rPr>
        <w:t>in</w:t>
      </w:r>
      <w:r>
        <w:rPr>
          <w:color w:val="231F20"/>
          <w:spacing w:val="7"/>
          <w:sz w:val="18"/>
        </w:rPr>
        <w:t> </w:t>
      </w:r>
      <w:r>
        <w:rPr>
          <w:color w:val="231F20"/>
          <w:sz w:val="18"/>
        </w:rPr>
        <w:t>urban</w:t>
      </w:r>
      <w:r>
        <w:rPr>
          <w:color w:val="231F20"/>
          <w:spacing w:val="7"/>
          <w:sz w:val="18"/>
        </w:rPr>
        <w:t> </w:t>
      </w:r>
      <w:r>
        <w:rPr>
          <w:color w:val="231F20"/>
          <w:sz w:val="18"/>
        </w:rPr>
        <w:t>run-off,</w:t>
      </w:r>
    </w:p>
    <w:p>
      <w:pPr>
        <w:pStyle w:val="ListParagraph"/>
        <w:numPr>
          <w:ilvl w:val="3"/>
          <w:numId w:val="7"/>
        </w:numPr>
        <w:tabs>
          <w:tab w:pos="4274" w:val="left" w:leader="none"/>
        </w:tabs>
        <w:spacing w:line="278" w:lineRule="auto" w:before="93" w:after="0"/>
        <w:ind w:left="4273" w:right="702" w:hanging="141"/>
        <w:jc w:val="left"/>
        <w:rPr>
          <w:sz w:val="18"/>
        </w:rPr>
      </w:pPr>
      <w:r>
        <w:rPr>
          <w:color w:val="231F20"/>
          <w:sz w:val="18"/>
        </w:rPr>
        <w:t>air pollution reduction by extracting carbon dioxide, producing oxygen and trapping dust  and fine air borne</w:t>
      </w:r>
      <w:r>
        <w:rPr>
          <w:color w:val="231F20"/>
          <w:spacing w:val="30"/>
          <w:sz w:val="18"/>
        </w:rPr>
        <w:t> </w:t>
      </w:r>
      <w:r>
        <w:rPr>
          <w:color w:val="231F20"/>
          <w:sz w:val="18"/>
        </w:rPr>
        <w:t>particles,</w:t>
      </w:r>
    </w:p>
    <w:p>
      <w:pPr>
        <w:pStyle w:val="ListParagraph"/>
        <w:numPr>
          <w:ilvl w:val="3"/>
          <w:numId w:val="7"/>
        </w:numPr>
        <w:tabs>
          <w:tab w:pos="4274" w:val="left" w:leader="none"/>
        </w:tabs>
        <w:spacing w:line="240" w:lineRule="auto" w:before="61" w:after="0"/>
        <w:ind w:left="4273" w:right="0" w:hanging="141"/>
        <w:jc w:val="left"/>
        <w:rPr>
          <w:sz w:val="18"/>
        </w:rPr>
      </w:pPr>
      <w:r>
        <w:rPr>
          <w:color w:val="231F20"/>
          <w:sz w:val="18"/>
        </w:rPr>
        <w:t>wind</w:t>
      </w:r>
      <w:r>
        <w:rPr>
          <w:color w:val="231F20"/>
          <w:spacing w:val="10"/>
          <w:sz w:val="18"/>
        </w:rPr>
        <w:t> </w:t>
      </w:r>
      <w:r>
        <w:rPr>
          <w:color w:val="231F20"/>
          <w:sz w:val="18"/>
        </w:rPr>
        <w:t>amelioration</w:t>
      </w:r>
      <w:r>
        <w:rPr>
          <w:color w:val="231F20"/>
          <w:spacing w:val="10"/>
          <w:sz w:val="18"/>
        </w:rPr>
        <w:t> </w:t>
      </w:r>
      <w:r>
        <w:rPr>
          <w:color w:val="231F20"/>
          <w:sz w:val="18"/>
        </w:rPr>
        <w:t>by</w:t>
      </w:r>
      <w:r>
        <w:rPr>
          <w:color w:val="231F20"/>
          <w:spacing w:val="10"/>
          <w:sz w:val="18"/>
        </w:rPr>
        <w:t> </w:t>
      </w:r>
      <w:r>
        <w:rPr>
          <w:color w:val="231F20"/>
          <w:sz w:val="18"/>
        </w:rPr>
        <w:t>deflection</w:t>
      </w:r>
      <w:r>
        <w:rPr>
          <w:color w:val="231F20"/>
          <w:spacing w:val="10"/>
          <w:sz w:val="18"/>
        </w:rPr>
        <w:t> </w:t>
      </w:r>
      <w:r>
        <w:rPr>
          <w:color w:val="231F20"/>
          <w:sz w:val="18"/>
        </w:rPr>
        <w:t>and</w:t>
      </w:r>
      <w:r>
        <w:rPr>
          <w:color w:val="231F20"/>
          <w:spacing w:val="10"/>
          <w:sz w:val="18"/>
        </w:rPr>
        <w:t> </w:t>
      </w:r>
      <w:r>
        <w:rPr>
          <w:color w:val="231F20"/>
          <w:sz w:val="18"/>
        </w:rPr>
        <w:t>reduction</w:t>
      </w:r>
      <w:r>
        <w:rPr>
          <w:color w:val="231F20"/>
          <w:spacing w:val="10"/>
          <w:sz w:val="18"/>
        </w:rPr>
        <w:t> </w:t>
      </w:r>
      <w:r>
        <w:rPr>
          <w:color w:val="231F20"/>
          <w:sz w:val="18"/>
        </w:rPr>
        <w:t>of</w:t>
      </w:r>
      <w:r>
        <w:rPr>
          <w:color w:val="231F20"/>
          <w:spacing w:val="10"/>
          <w:sz w:val="18"/>
        </w:rPr>
        <w:t> </w:t>
      </w:r>
      <w:r>
        <w:rPr>
          <w:color w:val="231F20"/>
          <w:sz w:val="18"/>
        </w:rPr>
        <w:t>the</w:t>
      </w:r>
      <w:r>
        <w:rPr>
          <w:color w:val="231F20"/>
          <w:spacing w:val="10"/>
          <w:sz w:val="18"/>
        </w:rPr>
        <w:t> </w:t>
      </w:r>
      <w:r>
        <w:rPr>
          <w:color w:val="231F20"/>
          <w:sz w:val="18"/>
        </w:rPr>
        <w:t>wind</w:t>
      </w:r>
      <w:r>
        <w:rPr>
          <w:color w:val="231F20"/>
          <w:spacing w:val="10"/>
          <w:sz w:val="18"/>
        </w:rPr>
        <w:t> </w:t>
      </w:r>
      <w:r>
        <w:rPr>
          <w:color w:val="231F20"/>
          <w:sz w:val="18"/>
        </w:rPr>
        <w:t>tunnelling</w:t>
      </w:r>
      <w:r>
        <w:rPr>
          <w:color w:val="231F20"/>
          <w:spacing w:val="10"/>
          <w:sz w:val="18"/>
        </w:rPr>
        <w:t> </w:t>
      </w:r>
      <w:r>
        <w:rPr>
          <w:color w:val="231F20"/>
          <w:sz w:val="18"/>
        </w:rPr>
        <w:t>effect,</w:t>
      </w:r>
    </w:p>
    <w:p>
      <w:pPr>
        <w:pStyle w:val="ListParagraph"/>
        <w:numPr>
          <w:ilvl w:val="3"/>
          <w:numId w:val="7"/>
        </w:numPr>
        <w:tabs>
          <w:tab w:pos="4274" w:val="left" w:leader="none"/>
        </w:tabs>
        <w:spacing w:line="240" w:lineRule="auto" w:before="93" w:after="0"/>
        <w:ind w:left="4273" w:right="0" w:hanging="141"/>
        <w:jc w:val="left"/>
        <w:rPr>
          <w:sz w:val="18"/>
        </w:rPr>
      </w:pPr>
      <w:r>
        <w:rPr>
          <w:color w:val="231F20"/>
          <w:sz w:val="18"/>
        </w:rPr>
        <w:t>increasing</w:t>
      </w:r>
      <w:r>
        <w:rPr>
          <w:color w:val="231F20"/>
          <w:spacing w:val="8"/>
          <w:sz w:val="18"/>
        </w:rPr>
        <w:t> </w:t>
      </w:r>
      <w:r>
        <w:rPr>
          <w:color w:val="231F20"/>
          <w:sz w:val="18"/>
        </w:rPr>
        <w:t>the</w:t>
      </w:r>
      <w:r>
        <w:rPr>
          <w:color w:val="231F20"/>
          <w:spacing w:val="8"/>
          <w:sz w:val="18"/>
        </w:rPr>
        <w:t> </w:t>
      </w:r>
      <w:r>
        <w:rPr>
          <w:color w:val="231F20"/>
          <w:sz w:val="18"/>
        </w:rPr>
        <w:t>potential</w:t>
      </w:r>
      <w:r>
        <w:rPr>
          <w:color w:val="231F20"/>
          <w:spacing w:val="8"/>
          <w:sz w:val="18"/>
        </w:rPr>
        <w:t> </w:t>
      </w:r>
      <w:r>
        <w:rPr>
          <w:color w:val="231F20"/>
          <w:sz w:val="18"/>
        </w:rPr>
        <w:t>for</w:t>
      </w:r>
      <w:r>
        <w:rPr>
          <w:color w:val="231F20"/>
          <w:spacing w:val="8"/>
          <w:sz w:val="18"/>
        </w:rPr>
        <w:t> </w:t>
      </w:r>
      <w:r>
        <w:rPr>
          <w:color w:val="231F20"/>
          <w:sz w:val="18"/>
        </w:rPr>
        <w:t>wildlife</w:t>
      </w:r>
      <w:r>
        <w:rPr>
          <w:color w:val="231F20"/>
          <w:spacing w:val="8"/>
          <w:sz w:val="18"/>
        </w:rPr>
        <w:t> </w:t>
      </w:r>
      <w:r>
        <w:rPr>
          <w:color w:val="231F20"/>
          <w:sz w:val="18"/>
        </w:rPr>
        <w:t>habitat</w:t>
      </w:r>
      <w:r>
        <w:rPr>
          <w:color w:val="231F20"/>
          <w:spacing w:val="8"/>
          <w:sz w:val="18"/>
        </w:rPr>
        <w:t> </w:t>
      </w:r>
      <w:r>
        <w:rPr>
          <w:color w:val="231F20"/>
          <w:sz w:val="18"/>
        </w:rPr>
        <w:t>and</w:t>
      </w:r>
      <w:r>
        <w:rPr>
          <w:color w:val="231F20"/>
          <w:spacing w:val="8"/>
          <w:sz w:val="18"/>
        </w:rPr>
        <w:t> </w:t>
      </w:r>
      <w:r>
        <w:rPr>
          <w:color w:val="231F20"/>
          <w:sz w:val="18"/>
        </w:rPr>
        <w:t>biodiversity,</w:t>
      </w:r>
    </w:p>
    <w:p>
      <w:pPr>
        <w:pStyle w:val="ListParagraph"/>
        <w:numPr>
          <w:ilvl w:val="3"/>
          <w:numId w:val="7"/>
        </w:numPr>
        <w:tabs>
          <w:tab w:pos="4274" w:val="left" w:leader="none"/>
        </w:tabs>
        <w:spacing w:line="240" w:lineRule="auto" w:before="93" w:after="0"/>
        <w:ind w:left="4273" w:right="0" w:hanging="141"/>
        <w:jc w:val="left"/>
        <w:rPr>
          <w:sz w:val="18"/>
        </w:rPr>
      </w:pPr>
      <w:r>
        <w:rPr>
          <w:color w:val="231F20"/>
          <w:sz w:val="18"/>
        </w:rPr>
        <w:t>improvements</w:t>
      </w:r>
      <w:r>
        <w:rPr>
          <w:color w:val="231F20"/>
          <w:spacing w:val="10"/>
          <w:sz w:val="18"/>
        </w:rPr>
        <w:t> </w:t>
      </w:r>
      <w:r>
        <w:rPr>
          <w:color w:val="231F20"/>
          <w:sz w:val="18"/>
        </w:rPr>
        <w:t>to</w:t>
      </w:r>
      <w:r>
        <w:rPr>
          <w:color w:val="231F20"/>
          <w:spacing w:val="10"/>
          <w:sz w:val="18"/>
        </w:rPr>
        <w:t> </w:t>
      </w:r>
      <w:r>
        <w:rPr>
          <w:color w:val="231F20"/>
          <w:sz w:val="18"/>
        </w:rPr>
        <w:t>microclimate</w:t>
      </w:r>
      <w:r>
        <w:rPr>
          <w:color w:val="231F20"/>
          <w:spacing w:val="10"/>
          <w:sz w:val="18"/>
        </w:rPr>
        <w:t> </w:t>
      </w:r>
      <w:r>
        <w:rPr>
          <w:color w:val="231F20"/>
          <w:sz w:val="18"/>
        </w:rPr>
        <w:t>at</w:t>
      </w:r>
      <w:r>
        <w:rPr>
          <w:color w:val="231F20"/>
          <w:spacing w:val="10"/>
          <w:sz w:val="18"/>
        </w:rPr>
        <w:t> </w:t>
      </w:r>
      <w:r>
        <w:rPr>
          <w:color w:val="231F20"/>
          <w:sz w:val="18"/>
        </w:rPr>
        <w:t>ground</w:t>
      </w:r>
      <w:r>
        <w:rPr>
          <w:color w:val="231F20"/>
          <w:spacing w:val="10"/>
          <w:sz w:val="18"/>
        </w:rPr>
        <w:t> </w:t>
      </w:r>
      <w:r>
        <w:rPr>
          <w:color w:val="231F20"/>
          <w:sz w:val="18"/>
        </w:rPr>
        <w:t>level</w:t>
      </w:r>
      <w:r>
        <w:rPr>
          <w:color w:val="231F20"/>
          <w:spacing w:val="10"/>
          <w:sz w:val="18"/>
        </w:rPr>
        <w:t> </w:t>
      </w:r>
      <w:r>
        <w:rPr>
          <w:color w:val="231F20"/>
          <w:sz w:val="18"/>
        </w:rPr>
        <w:t>which</w:t>
      </w:r>
      <w:r>
        <w:rPr>
          <w:color w:val="231F20"/>
          <w:spacing w:val="10"/>
          <w:sz w:val="18"/>
        </w:rPr>
        <w:t> </w:t>
      </w:r>
      <w:r>
        <w:rPr>
          <w:color w:val="231F20"/>
          <w:sz w:val="18"/>
        </w:rPr>
        <w:t>assists</w:t>
      </w:r>
      <w:r>
        <w:rPr>
          <w:color w:val="231F20"/>
          <w:spacing w:val="10"/>
          <w:sz w:val="18"/>
        </w:rPr>
        <w:t> </w:t>
      </w:r>
      <w:r>
        <w:rPr>
          <w:color w:val="231F20"/>
          <w:sz w:val="18"/>
        </w:rPr>
        <w:t>other</w:t>
      </w:r>
      <w:r>
        <w:rPr>
          <w:color w:val="231F20"/>
          <w:spacing w:val="10"/>
          <w:sz w:val="18"/>
        </w:rPr>
        <w:t> </w:t>
      </w:r>
      <w:r>
        <w:rPr>
          <w:color w:val="231F20"/>
          <w:sz w:val="18"/>
        </w:rPr>
        <w:t>plantings,</w:t>
      </w:r>
    </w:p>
    <w:p>
      <w:pPr>
        <w:pStyle w:val="ListParagraph"/>
        <w:numPr>
          <w:ilvl w:val="3"/>
          <w:numId w:val="7"/>
        </w:numPr>
        <w:tabs>
          <w:tab w:pos="4274" w:val="left" w:leader="none"/>
        </w:tabs>
        <w:spacing w:line="240" w:lineRule="auto" w:before="93" w:after="0"/>
        <w:ind w:left="4273" w:right="1216" w:hanging="141"/>
        <w:jc w:val="left"/>
        <w:rPr>
          <w:sz w:val="18"/>
        </w:rPr>
      </w:pPr>
      <w:r>
        <w:rPr>
          <w:color w:val="231F20"/>
          <w:sz w:val="18"/>
        </w:rPr>
        <w:t>carbon storage,</w:t>
      </w:r>
      <w:r>
        <w:rPr>
          <w:color w:val="231F20"/>
          <w:spacing w:val="13"/>
          <w:sz w:val="18"/>
        </w:rPr>
        <w:t> </w:t>
      </w:r>
      <w:r>
        <w:rPr>
          <w:color w:val="231F20"/>
          <w:spacing w:val="1"/>
          <w:sz w:val="18"/>
        </w:rPr>
        <w:t>and</w:t>
      </w:r>
    </w:p>
    <w:p>
      <w:pPr>
        <w:pStyle w:val="ListParagraph"/>
        <w:numPr>
          <w:ilvl w:val="3"/>
          <w:numId w:val="7"/>
        </w:numPr>
        <w:tabs>
          <w:tab w:pos="4274" w:val="left" w:leader="none"/>
        </w:tabs>
        <w:spacing w:line="240" w:lineRule="auto" w:before="93" w:after="0"/>
        <w:ind w:left="4273" w:right="0" w:hanging="141"/>
        <w:jc w:val="left"/>
        <w:rPr>
          <w:sz w:val="18"/>
        </w:rPr>
      </w:pPr>
      <w:r>
        <w:rPr>
          <w:color w:val="231F20"/>
          <w:sz w:val="18"/>
        </w:rPr>
        <w:t>reducing</w:t>
      </w:r>
      <w:r>
        <w:rPr>
          <w:color w:val="231F20"/>
          <w:spacing w:val="8"/>
          <w:sz w:val="18"/>
        </w:rPr>
        <w:t> </w:t>
      </w:r>
      <w:r>
        <w:rPr>
          <w:color w:val="231F20"/>
          <w:sz w:val="18"/>
        </w:rPr>
        <w:t>ambient</w:t>
      </w:r>
      <w:r>
        <w:rPr>
          <w:color w:val="231F20"/>
          <w:spacing w:val="8"/>
          <w:sz w:val="18"/>
        </w:rPr>
        <w:t> </w:t>
      </w:r>
      <w:r>
        <w:rPr>
          <w:color w:val="231F20"/>
          <w:sz w:val="18"/>
        </w:rPr>
        <w:t>urban</w:t>
      </w:r>
      <w:r>
        <w:rPr>
          <w:color w:val="231F20"/>
          <w:spacing w:val="8"/>
          <w:sz w:val="18"/>
        </w:rPr>
        <w:t> </w:t>
      </w:r>
      <w:r>
        <w:rPr>
          <w:color w:val="231F20"/>
          <w:sz w:val="18"/>
        </w:rPr>
        <w:t>temperatures</w:t>
      </w:r>
      <w:r>
        <w:rPr>
          <w:color w:val="231F20"/>
          <w:spacing w:val="8"/>
          <w:sz w:val="18"/>
        </w:rPr>
        <w:t> </w:t>
      </w:r>
      <w:r>
        <w:rPr>
          <w:color w:val="231F20"/>
          <w:sz w:val="18"/>
        </w:rPr>
        <w:t>to</w:t>
      </w:r>
      <w:r>
        <w:rPr>
          <w:color w:val="231F20"/>
          <w:spacing w:val="8"/>
          <w:sz w:val="18"/>
        </w:rPr>
        <w:t> </w:t>
      </w:r>
      <w:r>
        <w:rPr>
          <w:color w:val="231F20"/>
          <w:sz w:val="18"/>
        </w:rPr>
        <w:t>reduce</w:t>
      </w:r>
      <w:r>
        <w:rPr>
          <w:color w:val="231F20"/>
          <w:spacing w:val="8"/>
          <w:sz w:val="18"/>
        </w:rPr>
        <w:t> </w:t>
      </w:r>
      <w:r>
        <w:rPr>
          <w:color w:val="231F20"/>
          <w:sz w:val="18"/>
        </w:rPr>
        <w:t>heat</w:t>
      </w:r>
      <w:r>
        <w:rPr>
          <w:color w:val="231F20"/>
          <w:spacing w:val="8"/>
          <w:sz w:val="18"/>
        </w:rPr>
        <w:t> </w:t>
      </w:r>
      <w:r>
        <w:rPr>
          <w:color w:val="231F20"/>
          <w:sz w:val="18"/>
        </w:rPr>
        <w:t>island</w:t>
      </w:r>
      <w:r>
        <w:rPr>
          <w:color w:val="231F20"/>
          <w:spacing w:val="8"/>
          <w:sz w:val="18"/>
        </w:rPr>
        <w:t> </w:t>
      </w:r>
      <w:r>
        <w:rPr>
          <w:color w:val="231F20"/>
          <w:sz w:val="18"/>
        </w:rPr>
        <w:t>effect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spacing w:before="100"/>
        <w:ind w:left="3791" w:right="0" w:firstLine="0"/>
        <w:jc w:val="left"/>
        <w:rPr>
          <w:i/>
          <w:sz w:val="14"/>
        </w:rPr>
      </w:pPr>
      <w:r>
        <w:rPr>
          <w:b/>
          <w:i/>
          <w:color w:val="231F20"/>
          <w:sz w:val="14"/>
        </w:rPr>
        <w:t>Figure 5. </w:t>
      </w:r>
      <w:r>
        <w:rPr>
          <w:i/>
          <w:color w:val="231F20"/>
          <w:sz w:val="14"/>
        </w:rPr>
        <w:t>Large Tree in Petersham Park, Petersham shading playground.</w:t>
      </w:r>
    </w:p>
    <w:p>
      <w:pPr>
        <w:spacing w:after="0"/>
        <w:jc w:val="left"/>
        <w:rPr>
          <w:sz w:val="14"/>
        </w:rPr>
        <w:sectPr>
          <w:pgSz w:w="11910" w:h="16840"/>
          <w:pgMar w:header="0" w:footer="779" w:top="920" w:bottom="960" w:left="460" w:right="440"/>
        </w:sectPr>
      </w:pPr>
    </w:p>
    <w:p>
      <w:pPr>
        <w:pStyle w:val="BodyText"/>
        <w:rPr>
          <w:i/>
          <w:sz w:val="20"/>
        </w:rPr>
      </w:pPr>
      <w:r>
        <w:rPr/>
        <w:pict>
          <v:group style="position:absolute;margin-left:42.52pt;margin-top:28.919714pt;width:524.450pt;height:771.55pt;mso-position-horizontal-relative:page;mso-position-vertical-relative:page;z-index:-95416"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v:shape style="position:absolute;left:850;top:9408;width:4536;height:6001" type="#_x0000_t75" stroked="false">
              <v:imagedata r:id="rId20" o:title=""/>
            </v:shape>
            <w10:wrap type="none"/>
          </v:group>
        </w:pict>
      </w:r>
    </w:p>
    <w:p>
      <w:pPr>
        <w:spacing w:before="216"/>
        <w:ind w:left="0" w:right="966" w:firstLine="0"/>
        <w:jc w:val="right"/>
        <w:rPr>
          <w:i/>
          <w:sz w:val="24"/>
        </w:rPr>
      </w:pPr>
      <w:r>
        <w:rPr/>
        <w:pict>
          <v:shape style="position:absolute;margin-left:539.369202pt;margin-top:-7.862083pt;width:21.9pt;height:55.1pt;mso-position-horizontal-relative:page;mso-position-vertical-relative:paragraph;z-index:1552" type="#_x0000_t202" filled="false" stroked="false">
            <v:textbox inset="0,0,0,0">
              <w:txbxContent>
                <w:p>
                  <w:pPr>
                    <w:spacing w:line="1100" w:lineRule="exact" w:before="0"/>
                    <w:ind w:left="0" w:right="0" w:firstLine="0"/>
                    <w:jc w:val="left"/>
                    <w:rPr>
                      <w:b/>
                      <w:sz w:val="96"/>
                    </w:rPr>
                  </w:pPr>
                  <w:r>
                    <w:rPr>
                      <w:b/>
                      <w:color w:val="808285"/>
                      <w:sz w:val="96"/>
                    </w:rPr>
                    <w:t>2</w:t>
                  </w:r>
                </w:p>
              </w:txbxContent>
            </v:textbox>
            <w10:wrap type="none"/>
          </v:shape>
        </w:pict>
      </w:r>
      <w:r>
        <w:rPr>
          <w:i/>
          <w:color w:val="231F20"/>
          <w:sz w:val="24"/>
        </w:rPr>
        <w:t>Marrickville Council</w:t>
      </w:r>
    </w:p>
    <w:p>
      <w:pPr>
        <w:spacing w:before="25"/>
        <w:ind w:left="0" w:right="964" w:firstLine="0"/>
        <w:jc w:val="righ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390" w:right="0" w:firstLine="0"/>
        <w:jc w:val="left"/>
        <w:rPr>
          <w:b/>
          <w:sz w:val="24"/>
        </w:rPr>
      </w:pPr>
      <w:r>
        <w:rPr>
          <w:b/>
          <w:color w:val="231F20"/>
          <w:sz w:val="24"/>
        </w:rPr>
        <w:t>Economic</w:t>
      </w:r>
    </w:p>
    <w:p>
      <w:pPr>
        <w:pStyle w:val="BodyText"/>
        <w:spacing w:before="2"/>
        <w:rPr>
          <w:b/>
          <w:sz w:val="33"/>
        </w:rPr>
      </w:pPr>
    </w:p>
    <w:p>
      <w:pPr>
        <w:pStyle w:val="BodyText"/>
        <w:ind w:left="390"/>
      </w:pPr>
      <w:r>
        <w:rPr>
          <w:color w:val="231F20"/>
        </w:rPr>
        <w:t>The Urban Forest brings economic benefits through:</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increased property</w:t>
      </w:r>
      <w:r>
        <w:rPr>
          <w:color w:val="231F20"/>
          <w:spacing w:val="13"/>
          <w:sz w:val="18"/>
        </w:rPr>
        <w:t> </w:t>
      </w:r>
      <w:r>
        <w:rPr>
          <w:color w:val="231F20"/>
          <w:spacing w:val="1"/>
          <w:sz w:val="18"/>
        </w:rPr>
        <w:t>values</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increased profitability of commercial / retail</w:t>
      </w:r>
      <w:r>
        <w:rPr>
          <w:color w:val="231F20"/>
          <w:spacing w:val="5"/>
          <w:sz w:val="18"/>
        </w:rPr>
        <w:t> </w:t>
      </w:r>
      <w:r>
        <w:rPr>
          <w:color w:val="231F20"/>
          <w:sz w:val="18"/>
        </w:rPr>
        <w:t>areas</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reduced energy</w:t>
      </w:r>
      <w:r>
        <w:rPr>
          <w:color w:val="231F20"/>
          <w:spacing w:val="13"/>
          <w:sz w:val="18"/>
        </w:rPr>
        <w:t> </w:t>
      </w:r>
      <w:r>
        <w:rPr>
          <w:color w:val="231F20"/>
          <w:sz w:val="18"/>
        </w:rPr>
        <w:t>consumption</w:t>
      </w:r>
    </w:p>
    <w:p>
      <w:pPr>
        <w:pStyle w:val="ListParagraph"/>
        <w:numPr>
          <w:ilvl w:val="2"/>
          <w:numId w:val="7"/>
        </w:numPr>
        <w:tabs>
          <w:tab w:pos="873" w:val="left" w:leader="none"/>
        </w:tabs>
        <w:spacing w:line="240" w:lineRule="auto" w:before="93" w:after="0"/>
        <w:ind w:left="872" w:right="0" w:hanging="142"/>
        <w:jc w:val="left"/>
        <w:rPr>
          <w:sz w:val="18"/>
        </w:rPr>
      </w:pPr>
      <w:r>
        <w:rPr>
          <w:color w:val="231F20"/>
          <w:sz w:val="18"/>
        </w:rPr>
        <w:t>extend life of shaded</w:t>
      </w:r>
      <w:r>
        <w:rPr>
          <w:color w:val="231F20"/>
          <w:spacing w:val="28"/>
          <w:sz w:val="18"/>
        </w:rPr>
        <w:t> </w:t>
      </w:r>
      <w:r>
        <w:rPr>
          <w:color w:val="231F20"/>
          <w:sz w:val="18"/>
        </w:rPr>
        <w:t>pavements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0"/>
        <w:ind w:left="390" w:right="0" w:firstLine="0"/>
        <w:jc w:val="left"/>
        <w:rPr>
          <w:i/>
          <w:sz w:val="14"/>
        </w:rPr>
      </w:pPr>
      <w:r>
        <w:rPr>
          <w:b/>
          <w:i/>
          <w:color w:val="231F20"/>
          <w:sz w:val="14"/>
        </w:rPr>
        <w:t>Figure 6 Marrickville Rd. </w:t>
      </w:r>
      <w:r>
        <w:rPr>
          <w:i/>
          <w:color w:val="231F20"/>
          <w:sz w:val="14"/>
        </w:rPr>
        <w:t>Street trees planted along main shopping precinct</w:t>
      </w:r>
    </w:p>
    <w:p>
      <w:pPr>
        <w:spacing w:after="0"/>
        <w:jc w:val="left"/>
        <w:rPr>
          <w:sz w:val="14"/>
        </w:rPr>
        <w:sectPr>
          <w:pgSz w:w="11910" w:h="16840"/>
          <w:pgMar w:header="0" w:footer="779" w:top="920" w:bottom="960" w:left="460" w:right="440"/>
        </w:sectPr>
      </w:pPr>
    </w:p>
    <w:p>
      <w:pPr>
        <w:pStyle w:val="BodyText"/>
        <w:rPr>
          <w:i/>
          <w:sz w:val="20"/>
        </w:rPr>
      </w:pPr>
    </w:p>
    <w:p>
      <w:pPr>
        <w:spacing w:after="0"/>
        <w:rPr>
          <w:sz w:val="20"/>
        </w:rPr>
        <w:sectPr>
          <w:pgSz w:w="11910" w:h="16840"/>
          <w:pgMar w:header="0" w:footer="779" w:top="920" w:bottom="960" w:left="460" w:right="440"/>
        </w:sectPr>
      </w:pPr>
    </w:p>
    <w:p>
      <w:pPr>
        <w:spacing w:before="216"/>
        <w:ind w:left="1347" w:right="0" w:firstLine="0"/>
        <w:jc w:val="left"/>
        <w:rPr>
          <w:i/>
          <w:sz w:val="24"/>
        </w:rPr>
      </w:pPr>
      <w:r>
        <w:rPr/>
        <w:pict>
          <v:group style="position:absolute;margin-left:22.676901pt;margin-top:28.346714pt;width:530.1pt;height:772.1pt;mso-position-horizontal-relative:page;mso-position-vertical-relative:page;z-index:-95368"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w10:wrap type="none"/>
          </v:group>
        </w:pict>
      </w:r>
      <w:r>
        <w:rPr/>
        <w:pict>
          <v:shape style="position:absolute;margin-left:34.015701pt;margin-top:-7.862083pt;width:21.9pt;height:55.1pt;mso-position-horizontal-relative:page;mso-position-vertical-relative:paragraph;z-index:1600" type="#_x0000_t202" filled="false" stroked="false">
            <v:textbox inset="0,0,0,0">
              <w:txbxContent>
                <w:p>
                  <w:pPr>
                    <w:spacing w:line="1100" w:lineRule="exact" w:before="0"/>
                    <w:ind w:left="0" w:right="0" w:firstLine="0"/>
                    <w:jc w:val="left"/>
                    <w:rPr>
                      <w:b/>
                      <w:sz w:val="96"/>
                    </w:rPr>
                  </w:pPr>
                  <w:r>
                    <w:rPr>
                      <w:b/>
                      <w:color w:val="808285"/>
                      <w:sz w:val="96"/>
                    </w:rPr>
                    <w:t>3</w:t>
                  </w:r>
                </w:p>
              </w:txbxContent>
            </v:textbox>
            <w10:wrap type="none"/>
          </v:shape>
        </w:pict>
      </w:r>
      <w:r>
        <w:rPr>
          <w:i/>
          <w:color w:val="231F20"/>
          <w:sz w:val="24"/>
        </w:rPr>
        <w:t>Marrickville Council</w:t>
      </w:r>
    </w:p>
    <w:p>
      <w:pPr>
        <w:spacing w:before="25"/>
        <w:ind w:left="966" w:right="0" w:firstLine="0"/>
        <w:jc w:val="left"/>
        <w:rPr>
          <w:b/>
          <w:i/>
          <w:sz w:val="24"/>
        </w:rPr>
      </w:pPr>
      <w:r>
        <w:rPr>
          <w:b/>
          <w:i/>
          <w:color w:val="231F20"/>
          <w:sz w:val="24"/>
        </w:rPr>
        <w:t>Urban  Forest Strategy</w:t>
      </w:r>
    </w:p>
    <w:p>
      <w:pPr>
        <w:pStyle w:val="BodyText"/>
        <w:spacing w:before="8"/>
        <w:rPr>
          <w:b/>
          <w:i/>
          <w:sz w:val="41"/>
        </w:rPr>
      </w:pPr>
      <w:r>
        <w:rPr/>
        <w:br w:type="column"/>
      </w:r>
      <w:r>
        <w:rPr>
          <w:b/>
          <w:i/>
          <w:sz w:val="41"/>
        </w:rPr>
      </w:r>
    </w:p>
    <w:p>
      <w:pPr>
        <w:pStyle w:val="Heading1"/>
        <w:numPr>
          <w:ilvl w:val="0"/>
          <w:numId w:val="7"/>
        </w:numPr>
        <w:tabs>
          <w:tab w:pos="476" w:val="left" w:leader="none"/>
        </w:tabs>
        <w:spacing w:line="240" w:lineRule="auto" w:before="0" w:after="0"/>
        <w:ind w:left="475" w:right="0" w:hanging="255"/>
        <w:jc w:val="left"/>
      </w:pPr>
      <w:bookmarkStart w:name="_TOC_250000" w:id="4"/>
      <w:r>
        <w:rPr>
          <w:color w:val="231F20"/>
        </w:rPr>
        <w:t>URBAN FOREST</w:t>
      </w:r>
      <w:r>
        <w:rPr>
          <w:color w:val="231F20"/>
          <w:spacing w:val="5"/>
        </w:rPr>
        <w:t> </w:t>
      </w:r>
      <w:bookmarkEnd w:id="4"/>
      <w:r>
        <w:rPr>
          <w:color w:val="231F20"/>
          <w:spacing w:val="-3"/>
        </w:rPr>
        <w:t>STRATEGY</w:t>
      </w:r>
    </w:p>
    <w:p>
      <w:pPr>
        <w:pStyle w:val="BodyText"/>
        <w:rPr>
          <w:b/>
          <w:sz w:val="32"/>
        </w:rPr>
      </w:pPr>
    </w:p>
    <w:p>
      <w:pPr>
        <w:spacing w:line="314" w:lineRule="auto" w:before="287"/>
        <w:ind w:left="220" w:right="607" w:firstLine="0"/>
        <w:jc w:val="left"/>
        <w:rPr>
          <w:sz w:val="20"/>
        </w:rPr>
      </w:pPr>
      <w:r>
        <w:rPr>
          <w:color w:val="231F20"/>
          <w:sz w:val="20"/>
        </w:rPr>
        <w:t>The Draft Community Strategic Plan has a direct influence on the Marrickville Urban Forest Strategy (MUFS). Its Key Result Area (KRA) 3 calls for </w:t>
      </w:r>
      <w:r>
        <w:rPr>
          <w:i/>
          <w:color w:val="231F20"/>
          <w:sz w:val="20"/>
        </w:rPr>
        <w:t>“A well planned, sustainable urban </w:t>
      </w:r>
      <w:r>
        <w:rPr>
          <w:i/>
          <w:color w:val="231F20"/>
          <w:sz w:val="20"/>
        </w:rPr>
        <w:t>environment” </w:t>
      </w:r>
      <w:r>
        <w:rPr>
          <w:color w:val="231F20"/>
          <w:sz w:val="20"/>
        </w:rPr>
        <w:t>with an outcome ( 3.6 ) of Marrickville having </w:t>
      </w:r>
      <w:r>
        <w:rPr>
          <w:i/>
          <w:color w:val="231F20"/>
          <w:sz w:val="20"/>
        </w:rPr>
        <w:t>“a thriving natural environment” </w:t>
      </w:r>
      <w:r>
        <w:rPr>
          <w:color w:val="231F20"/>
          <w:sz w:val="20"/>
        </w:rPr>
        <w:t>and one of the strategies (c) to achieve this outcome is</w:t>
      </w:r>
    </w:p>
    <w:p>
      <w:pPr>
        <w:pStyle w:val="BodyText"/>
        <w:spacing w:before="6"/>
        <w:rPr>
          <w:sz w:val="26"/>
        </w:rPr>
      </w:pPr>
    </w:p>
    <w:p>
      <w:pPr>
        <w:spacing w:before="0"/>
        <w:ind w:left="580" w:right="0" w:firstLine="0"/>
        <w:jc w:val="left"/>
        <w:rPr>
          <w:b/>
          <w:i/>
          <w:sz w:val="18"/>
        </w:rPr>
      </w:pPr>
      <w:r>
        <w:rPr>
          <w:b/>
          <w:i/>
          <w:color w:val="231F20"/>
          <w:sz w:val="18"/>
        </w:rPr>
        <w:t>KRA 3.6 (c) Increase the urban tree canopy through new and replacement tree planting.</w:t>
      </w:r>
    </w:p>
    <w:p>
      <w:pPr>
        <w:pStyle w:val="BodyText"/>
        <w:rPr>
          <w:b/>
          <w:i/>
          <w:sz w:val="20"/>
        </w:rPr>
      </w:pPr>
    </w:p>
    <w:p>
      <w:pPr>
        <w:spacing w:line="314" w:lineRule="auto" w:before="157"/>
        <w:ind w:left="220" w:right="713" w:firstLine="0"/>
        <w:jc w:val="left"/>
        <w:rPr>
          <w:sz w:val="20"/>
        </w:rPr>
      </w:pPr>
      <w:r>
        <w:rPr>
          <w:color w:val="231F20"/>
          <w:sz w:val="20"/>
        </w:rPr>
        <w:t>This strategy along with the definition of the Urban Forest put forward by the Local Government Associations in its Urban Forest Policy 2003 as previously defined forms the overarching framework for the MUFS.</w:t>
      </w:r>
    </w:p>
    <w:p>
      <w:pPr>
        <w:pStyle w:val="BodyText"/>
        <w:spacing w:before="11"/>
        <w:rPr>
          <w:sz w:val="25"/>
        </w:rPr>
      </w:pPr>
    </w:p>
    <w:p>
      <w:pPr>
        <w:spacing w:line="314" w:lineRule="auto" w:before="0"/>
        <w:ind w:left="220" w:right="459" w:firstLine="0"/>
        <w:jc w:val="left"/>
        <w:rPr>
          <w:sz w:val="20"/>
        </w:rPr>
      </w:pPr>
      <w:r>
        <w:rPr>
          <w:color w:val="231F20"/>
          <w:sz w:val="20"/>
        </w:rPr>
        <w:t>The MUFS defines the processes and strategic actions to be undertaken for increase and management of the Urban Forest within the Local Government Area (LGA) of Marrickville for the period 2011-2016.</w:t>
      </w:r>
    </w:p>
    <w:p>
      <w:pPr>
        <w:pStyle w:val="BodyText"/>
        <w:rPr>
          <w:sz w:val="26"/>
        </w:rPr>
      </w:pPr>
    </w:p>
    <w:p>
      <w:pPr>
        <w:spacing w:line="314" w:lineRule="auto" w:before="0"/>
        <w:ind w:left="220" w:right="615" w:firstLine="0"/>
        <w:jc w:val="left"/>
        <w:rPr>
          <w:sz w:val="20"/>
        </w:rPr>
      </w:pPr>
      <w:r>
        <w:rPr>
          <w:color w:val="231F20"/>
          <w:sz w:val="20"/>
        </w:rPr>
        <w:t>This strategy is related to other Council documents currently being developed including the Marrickville Asset Management Strategy and Policy, Water Management Sub Catchment Management Plans, Parks Biodiversity Strategy, the Marrickville LEP 2010 &amp; Tree Management DCP 2010.</w:t>
      </w:r>
    </w:p>
    <w:p>
      <w:pPr>
        <w:pStyle w:val="BodyText"/>
        <w:spacing w:before="10"/>
        <w:rPr>
          <w:sz w:val="25"/>
        </w:rPr>
      </w:pPr>
    </w:p>
    <w:p>
      <w:pPr>
        <w:spacing w:line="314" w:lineRule="auto" w:before="0"/>
        <w:ind w:left="220" w:right="560" w:firstLine="0"/>
        <w:jc w:val="left"/>
        <w:rPr>
          <w:sz w:val="20"/>
        </w:rPr>
      </w:pPr>
      <w:r>
        <w:rPr>
          <w:color w:val="231F20"/>
          <w:sz w:val="20"/>
        </w:rPr>
        <w:t>The MUFS makes a number of changes to the way Council manages trees both within Council and privately owned lands. The Public Tree Asset will be managed according to the </w:t>
      </w:r>
      <w:r>
        <w:rPr>
          <w:i/>
          <w:color w:val="231F20"/>
          <w:sz w:val="20"/>
        </w:rPr>
        <w:t>“whole of life” </w:t>
      </w:r>
      <w:r>
        <w:rPr>
          <w:color w:val="231F20"/>
          <w:sz w:val="20"/>
        </w:rPr>
        <w:t>industry best practice principles such as selection of the right tree for the right place, developing an age group spread within the public tree asset, planting large trees in appropriate locations as well as initiating proactive maintenance activities such as formative pruning from an early age and higher levels of management for nominated trees.</w:t>
      </w:r>
    </w:p>
    <w:p>
      <w:pPr>
        <w:pStyle w:val="BodyText"/>
        <w:spacing w:before="10"/>
        <w:rPr>
          <w:sz w:val="25"/>
        </w:rPr>
      </w:pPr>
    </w:p>
    <w:p>
      <w:pPr>
        <w:spacing w:line="314" w:lineRule="auto" w:before="0"/>
        <w:ind w:left="220" w:right="560" w:firstLine="0"/>
        <w:jc w:val="left"/>
        <w:rPr>
          <w:sz w:val="20"/>
        </w:rPr>
      </w:pPr>
      <w:r>
        <w:rPr>
          <w:color w:val="231F20"/>
          <w:sz w:val="20"/>
        </w:rPr>
        <w:t>Out of the concept of the Urban Forest comes the aim of maintaining an appropriate percentage canopy cover for the LGA to maximise the many community and environmental benefits contributed by the urban forest. Marrickville’s current % canopy cover has not been measured.</w:t>
      </w:r>
    </w:p>
    <w:p>
      <w:pPr>
        <w:pStyle w:val="BodyText"/>
        <w:spacing w:before="10"/>
        <w:rPr>
          <w:sz w:val="25"/>
        </w:rPr>
      </w:pPr>
    </w:p>
    <w:p>
      <w:pPr>
        <w:spacing w:before="0"/>
        <w:ind w:left="220" w:right="0" w:firstLine="0"/>
        <w:jc w:val="left"/>
        <w:rPr>
          <w:sz w:val="20"/>
        </w:rPr>
      </w:pPr>
      <w:r>
        <w:rPr>
          <w:color w:val="231F20"/>
          <w:sz w:val="20"/>
        </w:rPr>
        <w:t>This fundamental gathering of data both for the Public Tree Asset and the canopy cover of</w:t>
      </w:r>
    </w:p>
    <w:p>
      <w:pPr>
        <w:spacing w:before="71"/>
        <w:ind w:left="220" w:right="0" w:firstLine="0"/>
        <w:jc w:val="left"/>
        <w:rPr>
          <w:sz w:val="20"/>
        </w:rPr>
      </w:pPr>
      <w:r>
        <w:rPr>
          <w:color w:val="231F20"/>
          <w:sz w:val="20"/>
        </w:rPr>
        <w:t>Marrickville are high priority actions identified.</w:t>
      </w:r>
    </w:p>
    <w:p>
      <w:pPr>
        <w:pStyle w:val="BodyText"/>
        <w:spacing w:before="3"/>
        <w:rPr>
          <w:sz w:val="32"/>
        </w:rPr>
      </w:pPr>
    </w:p>
    <w:p>
      <w:pPr>
        <w:spacing w:line="314" w:lineRule="auto" w:before="0"/>
        <w:ind w:left="220" w:right="459" w:firstLine="0"/>
        <w:jc w:val="left"/>
        <w:rPr>
          <w:sz w:val="20"/>
        </w:rPr>
      </w:pPr>
      <w:r>
        <w:rPr>
          <w:color w:val="231F20"/>
          <w:sz w:val="20"/>
        </w:rPr>
        <w:t>It should be noted that while the MUFS outlines the objectives and strategies for cyclic or recurrent Urban Forest Management operational activities, it does not seek to address (other than looking at best practice) capital funded works such as tree planting associated with road upgrade work (with associated initiatives such as WSUD or structural soils etc).</w:t>
      </w:r>
    </w:p>
    <w:p>
      <w:pPr>
        <w:spacing w:after="0" w:line="314" w:lineRule="auto"/>
        <w:jc w:val="left"/>
        <w:rPr>
          <w:sz w:val="20"/>
        </w:rPr>
        <w:sectPr>
          <w:type w:val="continuous"/>
          <w:pgSz w:w="11910" w:h="16840"/>
          <w:pgMar w:top="1360" w:bottom="280" w:left="460" w:right="440"/>
          <w:cols w:num="2" w:equalWidth="0">
            <w:col w:w="3276" w:space="296"/>
            <w:col w:w="7438"/>
          </w:cols>
        </w:sectPr>
      </w:pPr>
    </w:p>
    <w:p>
      <w:pPr>
        <w:pStyle w:val="BodyText"/>
        <w:rPr>
          <w:sz w:val="20"/>
        </w:rPr>
      </w:pPr>
      <w:r>
        <w:rPr/>
        <w:pict>
          <v:group style="position:absolute;margin-left:42.5201pt;margin-top:28.919714pt;width:524.450pt;height:771.55pt;mso-position-horizontal-relative:page;mso-position-vertical-relative:page;z-index:-95320"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w10:wrap type="none"/>
          </v:group>
        </w:pict>
      </w:r>
    </w:p>
    <w:p>
      <w:pPr>
        <w:spacing w:before="216"/>
        <w:ind w:left="0" w:right="966" w:firstLine="0"/>
        <w:jc w:val="right"/>
        <w:rPr>
          <w:i/>
          <w:sz w:val="24"/>
        </w:rPr>
      </w:pPr>
      <w:r>
        <w:rPr/>
        <w:pict>
          <v:shape style="position:absolute;margin-left:539.369202pt;margin-top:-7.862083pt;width:21.9pt;height:55.1pt;mso-position-horizontal-relative:page;mso-position-vertical-relative:paragraph;z-index:1648" type="#_x0000_t202" filled="false" stroked="false">
            <v:textbox inset="0,0,0,0">
              <w:txbxContent>
                <w:p>
                  <w:pPr>
                    <w:spacing w:line="1100" w:lineRule="exact" w:before="0"/>
                    <w:ind w:left="0" w:right="0" w:firstLine="0"/>
                    <w:jc w:val="left"/>
                    <w:rPr>
                      <w:b/>
                      <w:sz w:val="96"/>
                    </w:rPr>
                  </w:pPr>
                  <w:r>
                    <w:rPr>
                      <w:b/>
                      <w:color w:val="808285"/>
                      <w:sz w:val="96"/>
                    </w:rPr>
                    <w:t>3</w:t>
                  </w:r>
                </w:p>
              </w:txbxContent>
            </v:textbox>
            <w10:wrap type="none"/>
          </v:shape>
        </w:pict>
      </w:r>
      <w:r>
        <w:rPr>
          <w:i/>
          <w:color w:val="231F20"/>
          <w:sz w:val="24"/>
        </w:rPr>
        <w:t>Marrickville Council</w:t>
      </w:r>
    </w:p>
    <w:p>
      <w:pPr>
        <w:spacing w:before="25"/>
        <w:ind w:left="0" w:right="964" w:firstLine="0"/>
        <w:jc w:val="righ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390" w:right="0" w:firstLine="0"/>
        <w:jc w:val="left"/>
        <w:rPr>
          <w:b/>
          <w:sz w:val="24"/>
        </w:rPr>
      </w:pPr>
      <w:r>
        <w:rPr>
          <w:b/>
          <w:color w:val="231F20"/>
          <w:sz w:val="24"/>
        </w:rPr>
        <w:t>Conclusion</w:t>
      </w:r>
    </w:p>
    <w:p>
      <w:pPr>
        <w:pStyle w:val="BodyText"/>
        <w:spacing w:before="6"/>
        <w:rPr>
          <w:b/>
          <w:sz w:val="31"/>
        </w:rPr>
      </w:pPr>
    </w:p>
    <w:p>
      <w:pPr>
        <w:spacing w:before="0"/>
        <w:ind w:left="390" w:right="0" w:firstLine="0"/>
        <w:jc w:val="left"/>
        <w:rPr>
          <w:sz w:val="20"/>
        </w:rPr>
      </w:pPr>
      <w:r>
        <w:rPr>
          <w:color w:val="231F20"/>
          <w:sz w:val="20"/>
        </w:rPr>
        <w:t>The Actions Table following identifies and prioritises actions required to implement the</w:t>
      </w:r>
    </w:p>
    <w:p>
      <w:pPr>
        <w:spacing w:before="71"/>
        <w:ind w:left="390" w:right="0" w:firstLine="0"/>
        <w:jc w:val="left"/>
        <w:rPr>
          <w:sz w:val="20"/>
        </w:rPr>
      </w:pPr>
      <w:r>
        <w:rPr>
          <w:color w:val="231F20"/>
          <w:sz w:val="20"/>
        </w:rPr>
        <w:t>MUFS.</w:t>
      </w:r>
    </w:p>
    <w:p>
      <w:pPr>
        <w:pStyle w:val="BodyText"/>
        <w:spacing w:before="3"/>
        <w:rPr>
          <w:sz w:val="32"/>
        </w:rPr>
      </w:pPr>
    </w:p>
    <w:p>
      <w:pPr>
        <w:spacing w:before="0"/>
        <w:ind w:left="390" w:right="0" w:firstLine="0"/>
        <w:jc w:val="left"/>
        <w:rPr>
          <w:sz w:val="20"/>
        </w:rPr>
      </w:pPr>
      <w:r>
        <w:rPr>
          <w:color w:val="231F20"/>
          <w:sz w:val="20"/>
        </w:rPr>
        <w:t>The 5 areas of focus are:</w:t>
      </w:r>
    </w:p>
    <w:p>
      <w:pPr>
        <w:pStyle w:val="ListParagraph"/>
        <w:numPr>
          <w:ilvl w:val="0"/>
          <w:numId w:val="8"/>
        </w:numPr>
        <w:tabs>
          <w:tab w:pos="674" w:val="left" w:leader="none"/>
        </w:tabs>
        <w:spacing w:line="240" w:lineRule="auto" w:before="90" w:after="0"/>
        <w:ind w:left="673" w:right="0" w:hanging="283"/>
        <w:jc w:val="left"/>
        <w:rPr>
          <w:sz w:val="18"/>
        </w:rPr>
      </w:pPr>
      <w:r>
        <w:rPr>
          <w:color w:val="231F20"/>
          <w:sz w:val="18"/>
        </w:rPr>
        <w:t>Identification, Evaluation and Monitoring of the Urban</w:t>
      </w:r>
      <w:r>
        <w:rPr>
          <w:color w:val="231F20"/>
          <w:spacing w:val="13"/>
          <w:sz w:val="18"/>
        </w:rPr>
        <w:t> </w:t>
      </w:r>
      <w:r>
        <w:rPr>
          <w:color w:val="231F20"/>
          <w:spacing w:val="1"/>
          <w:sz w:val="18"/>
        </w:rPr>
        <w:t>Forest</w:t>
      </w:r>
    </w:p>
    <w:p>
      <w:pPr>
        <w:pStyle w:val="ListParagraph"/>
        <w:numPr>
          <w:ilvl w:val="0"/>
          <w:numId w:val="8"/>
        </w:numPr>
        <w:tabs>
          <w:tab w:pos="674" w:val="left" w:leader="none"/>
        </w:tabs>
        <w:spacing w:line="240" w:lineRule="auto" w:before="93" w:after="0"/>
        <w:ind w:left="673" w:right="0" w:hanging="283"/>
        <w:jc w:val="left"/>
        <w:rPr>
          <w:sz w:val="18"/>
        </w:rPr>
      </w:pPr>
      <w:r>
        <w:rPr>
          <w:color w:val="231F20"/>
          <w:sz w:val="18"/>
        </w:rPr>
        <w:t>Increase Marrickville’s Urban Forest</w:t>
      </w:r>
      <w:r>
        <w:rPr>
          <w:color w:val="231F20"/>
          <w:spacing w:val="30"/>
          <w:sz w:val="18"/>
        </w:rPr>
        <w:t> </w:t>
      </w:r>
      <w:r>
        <w:rPr>
          <w:color w:val="231F20"/>
          <w:spacing w:val="1"/>
          <w:sz w:val="18"/>
        </w:rPr>
        <w:t>Canopy</w:t>
      </w:r>
    </w:p>
    <w:p>
      <w:pPr>
        <w:pStyle w:val="ListParagraph"/>
        <w:numPr>
          <w:ilvl w:val="0"/>
          <w:numId w:val="8"/>
        </w:numPr>
        <w:tabs>
          <w:tab w:pos="674" w:val="left" w:leader="none"/>
        </w:tabs>
        <w:spacing w:line="240" w:lineRule="auto" w:before="93" w:after="0"/>
        <w:ind w:left="673" w:right="0" w:hanging="283"/>
        <w:jc w:val="left"/>
        <w:rPr>
          <w:sz w:val="18"/>
        </w:rPr>
      </w:pPr>
      <w:r>
        <w:rPr>
          <w:color w:val="231F20"/>
          <w:sz w:val="18"/>
        </w:rPr>
        <w:t>Undertaking  Whole  of  Life</w:t>
      </w:r>
      <w:r>
        <w:rPr>
          <w:color w:val="231F20"/>
          <w:spacing w:val="-12"/>
          <w:sz w:val="18"/>
        </w:rPr>
        <w:t> </w:t>
      </w:r>
      <w:r>
        <w:rPr>
          <w:color w:val="231F20"/>
          <w:sz w:val="18"/>
        </w:rPr>
        <w:t>Management</w:t>
      </w:r>
    </w:p>
    <w:p>
      <w:pPr>
        <w:pStyle w:val="ListParagraph"/>
        <w:numPr>
          <w:ilvl w:val="0"/>
          <w:numId w:val="8"/>
        </w:numPr>
        <w:tabs>
          <w:tab w:pos="674" w:val="left" w:leader="none"/>
        </w:tabs>
        <w:spacing w:line="240" w:lineRule="auto" w:before="94" w:after="0"/>
        <w:ind w:left="673" w:right="0" w:hanging="283"/>
        <w:jc w:val="left"/>
        <w:rPr>
          <w:sz w:val="18"/>
        </w:rPr>
      </w:pPr>
      <w:r>
        <w:rPr>
          <w:color w:val="231F20"/>
          <w:sz w:val="18"/>
        </w:rPr>
        <w:t>Involving  and  Engaging  the</w:t>
      </w:r>
      <w:r>
        <w:rPr>
          <w:color w:val="231F20"/>
          <w:spacing w:val="-12"/>
          <w:sz w:val="18"/>
        </w:rPr>
        <w:t> </w:t>
      </w:r>
      <w:r>
        <w:rPr>
          <w:color w:val="231F20"/>
          <w:sz w:val="18"/>
        </w:rPr>
        <w:t>Community</w:t>
      </w:r>
    </w:p>
    <w:p>
      <w:pPr>
        <w:pStyle w:val="ListParagraph"/>
        <w:numPr>
          <w:ilvl w:val="0"/>
          <w:numId w:val="8"/>
        </w:numPr>
        <w:tabs>
          <w:tab w:pos="674" w:val="left" w:leader="none"/>
        </w:tabs>
        <w:spacing w:line="240" w:lineRule="auto" w:before="93" w:after="0"/>
        <w:ind w:left="673" w:right="0" w:hanging="283"/>
        <w:jc w:val="left"/>
        <w:rPr>
          <w:sz w:val="18"/>
        </w:rPr>
      </w:pPr>
      <w:r>
        <w:rPr>
          <w:color w:val="231F20"/>
          <w:sz w:val="18"/>
        </w:rPr>
        <w:t>Priorities, Resource and Budget for the Urban</w:t>
      </w:r>
      <w:r>
        <w:rPr>
          <w:color w:val="231F20"/>
          <w:spacing w:val="11"/>
          <w:sz w:val="18"/>
        </w:rPr>
        <w:t> </w:t>
      </w:r>
      <w:r>
        <w:rPr>
          <w:color w:val="231F20"/>
          <w:spacing w:val="1"/>
          <w:sz w:val="18"/>
        </w:rPr>
        <w:t>Forest</w:t>
      </w:r>
    </w:p>
    <w:p>
      <w:pPr>
        <w:pStyle w:val="BodyText"/>
        <w:rPr>
          <w:sz w:val="20"/>
        </w:rPr>
      </w:pPr>
    </w:p>
    <w:p>
      <w:pPr>
        <w:spacing w:line="314" w:lineRule="auto" w:before="146"/>
        <w:ind w:left="390" w:right="3899" w:firstLine="0"/>
        <w:jc w:val="left"/>
        <w:rPr>
          <w:sz w:val="20"/>
        </w:rPr>
      </w:pPr>
      <w:r>
        <w:rPr>
          <w:color w:val="231F20"/>
          <w:sz w:val="20"/>
        </w:rPr>
        <w:t>Where additional funding is likely to be required this has been identified. It is anticipated that the majority of actions to implement the Marrickville UFS can be progressively implemented with existing resources.</w:t>
      </w:r>
    </w:p>
    <w:p>
      <w:pPr>
        <w:pStyle w:val="BodyText"/>
        <w:spacing w:before="11"/>
        <w:rPr>
          <w:sz w:val="25"/>
        </w:rPr>
      </w:pPr>
    </w:p>
    <w:p>
      <w:pPr>
        <w:spacing w:before="0"/>
        <w:ind w:left="390" w:right="0" w:firstLine="0"/>
        <w:jc w:val="left"/>
        <w:rPr>
          <w:sz w:val="20"/>
        </w:rPr>
      </w:pPr>
      <w:r>
        <w:rPr>
          <w:color w:val="231F20"/>
          <w:sz w:val="20"/>
        </w:rPr>
        <w:t>However, two high priority actions are identified that require substantial budgets and are</w:t>
      </w:r>
    </w:p>
    <w:p>
      <w:pPr>
        <w:spacing w:before="70"/>
        <w:ind w:left="390" w:right="0" w:firstLine="0"/>
        <w:jc w:val="left"/>
        <w:rPr>
          <w:sz w:val="20"/>
        </w:rPr>
      </w:pPr>
      <w:r>
        <w:rPr>
          <w:color w:val="231F20"/>
          <w:sz w:val="20"/>
        </w:rPr>
        <w:t>currently unfunded. These are:</w:t>
      </w:r>
    </w:p>
    <w:p>
      <w:pPr>
        <w:pStyle w:val="BodyText"/>
        <w:spacing w:before="3"/>
        <w:rPr>
          <w:sz w:val="32"/>
        </w:rPr>
      </w:pPr>
    </w:p>
    <w:p>
      <w:pPr>
        <w:pStyle w:val="ListParagraph"/>
        <w:numPr>
          <w:ilvl w:val="1"/>
          <w:numId w:val="8"/>
        </w:numPr>
        <w:tabs>
          <w:tab w:pos="674" w:val="left" w:leader="none"/>
        </w:tabs>
        <w:spacing w:line="314" w:lineRule="auto" w:before="1" w:after="0"/>
        <w:ind w:left="673" w:right="4021" w:hanging="283"/>
        <w:jc w:val="left"/>
        <w:rPr>
          <w:b/>
          <w:sz w:val="20"/>
        </w:rPr>
      </w:pPr>
      <w:r>
        <w:rPr>
          <w:b/>
          <w:color w:val="231F20"/>
          <w:spacing w:val="1"/>
          <w:sz w:val="20"/>
        </w:rPr>
        <w:t>Collection </w:t>
      </w:r>
      <w:r>
        <w:rPr>
          <w:b/>
          <w:color w:val="231F20"/>
          <w:sz w:val="20"/>
        </w:rPr>
        <w:t>of asset condition  </w:t>
      </w:r>
      <w:r>
        <w:rPr>
          <w:b/>
          <w:color w:val="231F20"/>
          <w:spacing w:val="1"/>
          <w:sz w:val="20"/>
        </w:rPr>
        <w:t>data </w:t>
      </w:r>
      <w:r>
        <w:rPr>
          <w:b/>
          <w:color w:val="231F20"/>
          <w:sz w:val="20"/>
        </w:rPr>
        <w:t>on  all  </w:t>
      </w:r>
      <w:r>
        <w:rPr>
          <w:b/>
          <w:color w:val="231F20"/>
          <w:spacing w:val="1"/>
          <w:sz w:val="20"/>
        </w:rPr>
        <w:t>public trees </w:t>
      </w:r>
      <w:r>
        <w:rPr>
          <w:b/>
          <w:color w:val="231F20"/>
          <w:sz w:val="20"/>
        </w:rPr>
        <w:t>and  the  establishment of a </w:t>
      </w:r>
      <w:r>
        <w:rPr>
          <w:b/>
          <w:color w:val="231F20"/>
          <w:spacing w:val="1"/>
          <w:sz w:val="20"/>
        </w:rPr>
        <w:t>public tree </w:t>
      </w:r>
      <w:r>
        <w:rPr>
          <w:b/>
          <w:color w:val="231F20"/>
          <w:sz w:val="20"/>
        </w:rPr>
        <w:t>asset inventory and identification of the combined </w:t>
      </w:r>
      <w:r>
        <w:rPr>
          <w:b/>
          <w:color w:val="231F20"/>
          <w:spacing w:val="1"/>
          <w:sz w:val="20"/>
        </w:rPr>
        <w:t>public and private</w:t>
      </w:r>
      <w:r>
        <w:rPr>
          <w:b/>
          <w:color w:val="231F20"/>
          <w:spacing w:val="8"/>
          <w:sz w:val="20"/>
        </w:rPr>
        <w:t> </w:t>
      </w:r>
      <w:r>
        <w:rPr>
          <w:b/>
          <w:color w:val="231F20"/>
          <w:spacing w:val="1"/>
          <w:sz w:val="20"/>
        </w:rPr>
        <w:t>urban</w:t>
      </w:r>
      <w:r>
        <w:rPr>
          <w:b/>
          <w:color w:val="231F20"/>
          <w:spacing w:val="8"/>
          <w:sz w:val="20"/>
        </w:rPr>
        <w:t> </w:t>
      </w:r>
      <w:r>
        <w:rPr>
          <w:b/>
          <w:color w:val="231F20"/>
          <w:spacing w:val="1"/>
          <w:sz w:val="20"/>
        </w:rPr>
        <w:t>forest</w:t>
      </w:r>
      <w:r>
        <w:rPr>
          <w:b/>
          <w:color w:val="231F20"/>
          <w:spacing w:val="8"/>
          <w:sz w:val="20"/>
        </w:rPr>
        <w:t> </w:t>
      </w:r>
      <w:r>
        <w:rPr>
          <w:b/>
          <w:color w:val="231F20"/>
          <w:sz w:val="20"/>
        </w:rPr>
        <w:t>as</w:t>
      </w:r>
      <w:r>
        <w:rPr>
          <w:b/>
          <w:color w:val="231F20"/>
          <w:spacing w:val="7"/>
          <w:sz w:val="20"/>
        </w:rPr>
        <w:t> </w:t>
      </w:r>
      <w:r>
        <w:rPr>
          <w:b/>
          <w:color w:val="231F20"/>
          <w:sz w:val="20"/>
        </w:rPr>
        <w:t>a</w:t>
      </w:r>
      <w:r>
        <w:rPr>
          <w:b/>
          <w:color w:val="231F20"/>
          <w:spacing w:val="7"/>
          <w:sz w:val="20"/>
        </w:rPr>
        <w:t> </w:t>
      </w:r>
      <w:r>
        <w:rPr>
          <w:b/>
          <w:color w:val="231F20"/>
          <w:spacing w:val="1"/>
          <w:sz w:val="20"/>
        </w:rPr>
        <w:t>percentage</w:t>
      </w:r>
      <w:r>
        <w:rPr>
          <w:b/>
          <w:color w:val="231F20"/>
          <w:spacing w:val="8"/>
          <w:sz w:val="20"/>
        </w:rPr>
        <w:t> </w:t>
      </w:r>
      <w:r>
        <w:rPr>
          <w:b/>
          <w:color w:val="231F20"/>
          <w:sz w:val="20"/>
        </w:rPr>
        <w:t>canopy</w:t>
      </w:r>
      <w:r>
        <w:rPr>
          <w:b/>
          <w:color w:val="231F20"/>
          <w:spacing w:val="7"/>
          <w:sz w:val="20"/>
        </w:rPr>
        <w:t> </w:t>
      </w:r>
      <w:r>
        <w:rPr>
          <w:b/>
          <w:color w:val="231F20"/>
          <w:spacing w:val="1"/>
          <w:sz w:val="20"/>
        </w:rPr>
        <w:t>over</w:t>
      </w:r>
      <w:r>
        <w:rPr>
          <w:b/>
          <w:color w:val="231F20"/>
          <w:spacing w:val="8"/>
          <w:sz w:val="20"/>
        </w:rPr>
        <w:t> </w:t>
      </w:r>
      <w:r>
        <w:rPr>
          <w:b/>
          <w:color w:val="231F20"/>
          <w:sz w:val="20"/>
        </w:rPr>
        <w:t>the</w:t>
      </w:r>
      <w:r>
        <w:rPr>
          <w:b/>
          <w:color w:val="231F20"/>
          <w:spacing w:val="8"/>
          <w:sz w:val="20"/>
        </w:rPr>
        <w:t> </w:t>
      </w:r>
      <w:r>
        <w:rPr>
          <w:b/>
          <w:color w:val="231F20"/>
          <w:spacing w:val="2"/>
          <w:sz w:val="20"/>
        </w:rPr>
        <w:t>LGA.</w:t>
      </w:r>
    </w:p>
    <w:p>
      <w:pPr>
        <w:pStyle w:val="BodyText"/>
        <w:spacing w:before="11"/>
        <w:rPr>
          <w:b/>
          <w:sz w:val="25"/>
        </w:rPr>
      </w:pPr>
    </w:p>
    <w:p>
      <w:pPr>
        <w:spacing w:line="314" w:lineRule="auto" w:before="0"/>
        <w:ind w:left="673" w:right="4054" w:hanging="1"/>
        <w:jc w:val="left"/>
        <w:rPr>
          <w:sz w:val="20"/>
        </w:rPr>
      </w:pPr>
      <w:r>
        <w:rPr>
          <w:color w:val="231F20"/>
          <w:sz w:val="20"/>
        </w:rPr>
        <w:t>This component is of primary importance as it establishes the base line from which the planning and management of the UFS is generated.</w:t>
      </w:r>
    </w:p>
    <w:p>
      <w:pPr>
        <w:pStyle w:val="BodyText"/>
        <w:rPr>
          <w:sz w:val="26"/>
        </w:rPr>
      </w:pPr>
    </w:p>
    <w:p>
      <w:pPr>
        <w:pStyle w:val="ListParagraph"/>
        <w:numPr>
          <w:ilvl w:val="1"/>
          <w:numId w:val="8"/>
        </w:numPr>
        <w:tabs>
          <w:tab w:pos="674" w:val="left" w:leader="none"/>
        </w:tabs>
        <w:spacing w:line="240" w:lineRule="auto" w:before="0" w:after="0"/>
        <w:ind w:left="673" w:right="0" w:hanging="283"/>
        <w:jc w:val="left"/>
        <w:rPr>
          <w:b/>
          <w:sz w:val="20"/>
        </w:rPr>
      </w:pPr>
      <w:r>
        <w:rPr>
          <w:b/>
          <w:color w:val="231F20"/>
          <w:spacing w:val="1"/>
          <w:sz w:val="20"/>
        </w:rPr>
        <w:t>Preparation </w:t>
      </w:r>
      <w:r>
        <w:rPr>
          <w:b/>
          <w:color w:val="231F20"/>
          <w:sz w:val="20"/>
        </w:rPr>
        <w:t>of a </w:t>
      </w:r>
      <w:r>
        <w:rPr>
          <w:b/>
          <w:color w:val="231F20"/>
          <w:spacing w:val="1"/>
          <w:sz w:val="20"/>
        </w:rPr>
        <w:t>Street </w:t>
      </w:r>
      <w:r>
        <w:rPr>
          <w:b/>
          <w:color w:val="231F20"/>
          <w:sz w:val="20"/>
        </w:rPr>
        <w:t>Tree Master</w:t>
      </w:r>
      <w:r>
        <w:rPr>
          <w:b/>
          <w:color w:val="231F20"/>
          <w:spacing w:val="43"/>
          <w:sz w:val="20"/>
        </w:rPr>
        <w:t> </w:t>
      </w:r>
      <w:r>
        <w:rPr>
          <w:b/>
          <w:color w:val="231F20"/>
          <w:spacing w:val="2"/>
          <w:sz w:val="20"/>
        </w:rPr>
        <w:t>Plan.</w:t>
      </w:r>
    </w:p>
    <w:p>
      <w:pPr>
        <w:pStyle w:val="BodyText"/>
        <w:spacing w:before="3"/>
        <w:rPr>
          <w:b/>
          <w:sz w:val="32"/>
        </w:rPr>
      </w:pPr>
    </w:p>
    <w:p>
      <w:pPr>
        <w:spacing w:line="314" w:lineRule="auto" w:before="1"/>
        <w:ind w:left="673" w:right="4054" w:hanging="1"/>
        <w:jc w:val="left"/>
        <w:rPr>
          <w:sz w:val="20"/>
        </w:rPr>
      </w:pPr>
      <w:r>
        <w:rPr>
          <w:color w:val="231F20"/>
          <w:spacing w:val="1"/>
          <w:sz w:val="20"/>
        </w:rPr>
        <w:t>From </w:t>
      </w:r>
      <w:r>
        <w:rPr>
          <w:color w:val="231F20"/>
          <w:sz w:val="20"/>
        </w:rPr>
        <w:t>the base line of the tree asset inventory the </w:t>
      </w:r>
      <w:r>
        <w:rPr>
          <w:color w:val="231F20"/>
          <w:spacing w:val="1"/>
          <w:sz w:val="20"/>
        </w:rPr>
        <w:t>Street </w:t>
      </w:r>
      <w:r>
        <w:rPr>
          <w:color w:val="231F20"/>
          <w:sz w:val="20"/>
        </w:rPr>
        <w:t>Tree  Master </w:t>
      </w:r>
      <w:r>
        <w:rPr>
          <w:color w:val="231F20"/>
          <w:spacing w:val="1"/>
          <w:sz w:val="20"/>
        </w:rPr>
        <w:t>Plan </w:t>
      </w:r>
      <w:r>
        <w:rPr>
          <w:color w:val="231F20"/>
          <w:sz w:val="20"/>
        </w:rPr>
        <w:t>sets </w:t>
      </w:r>
      <w:r>
        <w:rPr>
          <w:color w:val="231F20"/>
          <w:spacing w:val="1"/>
          <w:sz w:val="20"/>
        </w:rPr>
        <w:t>out      </w:t>
      </w:r>
      <w:r>
        <w:rPr>
          <w:color w:val="231F20"/>
          <w:sz w:val="20"/>
        </w:rPr>
        <w:t>the framework and actions for achieving the </w:t>
      </w:r>
      <w:r>
        <w:rPr>
          <w:color w:val="231F20"/>
          <w:spacing w:val="1"/>
          <w:sz w:val="20"/>
        </w:rPr>
        <w:t>UFS,  </w:t>
      </w:r>
      <w:r>
        <w:rPr>
          <w:color w:val="231F20"/>
          <w:sz w:val="20"/>
        </w:rPr>
        <w:t>providing  council  </w:t>
      </w:r>
      <w:r>
        <w:rPr>
          <w:color w:val="231F20"/>
          <w:spacing w:val="1"/>
          <w:sz w:val="20"/>
        </w:rPr>
        <w:t>with  </w:t>
      </w:r>
      <w:r>
        <w:rPr>
          <w:color w:val="231F20"/>
          <w:sz w:val="20"/>
        </w:rPr>
        <w:t>a  tool  to guide </w:t>
      </w:r>
      <w:r>
        <w:rPr>
          <w:color w:val="231F20"/>
          <w:spacing w:val="1"/>
          <w:sz w:val="20"/>
        </w:rPr>
        <w:t>resourcing </w:t>
      </w:r>
      <w:r>
        <w:rPr>
          <w:color w:val="231F20"/>
          <w:sz w:val="20"/>
        </w:rPr>
        <w:t>and formulation of future budgets.  It  is  intended  that  the  </w:t>
      </w:r>
      <w:r>
        <w:rPr>
          <w:color w:val="231F20"/>
          <w:spacing w:val="2"/>
          <w:sz w:val="20"/>
        </w:rPr>
        <w:t>STMP </w:t>
      </w:r>
      <w:r>
        <w:rPr>
          <w:color w:val="231F20"/>
          <w:spacing w:val="1"/>
          <w:sz w:val="20"/>
        </w:rPr>
        <w:t>would </w:t>
      </w:r>
      <w:r>
        <w:rPr>
          <w:color w:val="231F20"/>
          <w:sz w:val="20"/>
        </w:rPr>
        <w:t>also identify opportunities for increasing the UF on </w:t>
      </w:r>
      <w:r>
        <w:rPr>
          <w:color w:val="231F20"/>
          <w:spacing w:val="1"/>
          <w:sz w:val="20"/>
        </w:rPr>
        <w:t>State </w:t>
      </w:r>
      <w:r>
        <w:rPr>
          <w:color w:val="231F20"/>
          <w:sz w:val="20"/>
        </w:rPr>
        <w:t>Govt &amp; </w:t>
      </w:r>
      <w:r>
        <w:rPr>
          <w:color w:val="231F20"/>
          <w:spacing w:val="1"/>
          <w:sz w:val="20"/>
        </w:rPr>
        <w:t>“Not </w:t>
      </w:r>
      <w:r>
        <w:rPr>
          <w:color w:val="231F20"/>
          <w:sz w:val="20"/>
        </w:rPr>
        <w:t>for </w:t>
      </w:r>
      <w:r>
        <w:rPr>
          <w:color w:val="231F20"/>
          <w:spacing w:val="2"/>
          <w:sz w:val="20"/>
        </w:rPr>
        <w:t>Profit” </w:t>
      </w:r>
      <w:r>
        <w:rPr>
          <w:color w:val="231F20"/>
          <w:sz w:val="20"/>
        </w:rPr>
        <w:t>Organisation lands and is the vehicle for engaging the community  </w:t>
      </w:r>
      <w:r>
        <w:rPr>
          <w:color w:val="231F20"/>
          <w:spacing w:val="1"/>
          <w:sz w:val="20"/>
        </w:rPr>
        <w:t>regarding  future </w:t>
      </w:r>
      <w:r>
        <w:rPr>
          <w:color w:val="231F20"/>
          <w:sz w:val="20"/>
        </w:rPr>
        <w:t>urban forest</w:t>
      </w:r>
      <w:r>
        <w:rPr>
          <w:color w:val="231F20"/>
          <w:spacing w:val="13"/>
          <w:sz w:val="20"/>
        </w:rPr>
        <w:t> </w:t>
      </w:r>
      <w:r>
        <w:rPr>
          <w:color w:val="231F20"/>
          <w:spacing w:val="1"/>
          <w:sz w:val="20"/>
        </w:rPr>
        <w:t>development.</w:t>
      </w:r>
    </w:p>
    <w:p>
      <w:pPr>
        <w:spacing w:after="0" w:line="314" w:lineRule="auto"/>
        <w:jc w:val="left"/>
        <w:rPr>
          <w:sz w:val="20"/>
        </w:rPr>
        <w:sectPr>
          <w:pgSz w:w="11910" w:h="16840"/>
          <w:pgMar w:header="0" w:footer="779" w:top="920" w:bottom="960" w:left="460" w:right="440"/>
        </w:sectPr>
      </w:pPr>
    </w:p>
    <w:p>
      <w:pPr>
        <w:pStyle w:val="BodyText"/>
        <w:ind w:left="-10"/>
        <w:rPr>
          <w:sz w:val="20"/>
        </w:rPr>
      </w:pPr>
      <w:r>
        <w:rPr>
          <w:sz w:val="20"/>
        </w:rPr>
        <w:pict>
          <v:group style="width:530.1pt;height:77.3pt;mso-position-horizontal-relative:char;mso-position-vertical-relative:line" coordorigin="0,0" coordsize="10602,1546">
            <v:line style="position:absolute" from="10602,1492" to="0,1492" stroked="true" strokeweight=".25pt" strokecolor="#808285">
              <v:stroke dashstyle="solid"/>
            </v:line>
            <v:line style="position:absolute" from="3510,0" to="3510,1502" stroked="true" strokeweight=".25pt" strokecolor="#808285">
              <v:stroke dashstyle="solid"/>
            </v:line>
            <v:shape style="position:absolute;left:226;top:443;width:458;height:1102" type="#_x0000_t202" filled="false" stroked="false">
              <v:textbox inset="0,0,0,0">
                <w:txbxContent>
                  <w:p>
                    <w:pPr>
                      <w:spacing w:line="1100" w:lineRule="exact" w:before="0"/>
                      <w:ind w:left="0" w:right="0" w:firstLine="0"/>
                      <w:jc w:val="left"/>
                      <w:rPr>
                        <w:b/>
                        <w:sz w:val="96"/>
                      </w:rPr>
                    </w:pPr>
                    <w:r>
                      <w:rPr>
                        <w:b/>
                        <w:color w:val="808285"/>
                        <w:sz w:val="96"/>
                      </w:rPr>
                      <w:t>4</w:t>
                    </w:r>
                  </w:p>
                </w:txbxContent>
              </v:textbox>
              <w10:wrap type="none"/>
            </v:shape>
            <v:shape style="position:absolute;left:972;top:817;width:2290;height:576" type="#_x0000_t202" filled="false" stroked="false">
              <v:textbox inset="0,0,0,0">
                <w:txbxContent>
                  <w:p>
                    <w:pPr>
                      <w:spacing w:line="275" w:lineRule="exact" w:before="0"/>
                      <w:ind w:left="381" w:right="0" w:firstLine="0"/>
                      <w:jc w:val="left"/>
                      <w:rPr>
                        <w:i/>
                        <w:sz w:val="24"/>
                      </w:rPr>
                    </w:pPr>
                    <w:r>
                      <w:rPr>
                        <w:i/>
                        <w:color w:val="231F20"/>
                        <w:sz w:val="24"/>
                      </w:rPr>
                      <w:t>Marrickville Council</w:t>
                    </w:r>
                  </w:p>
                  <w:p>
                    <w:pPr>
                      <w:spacing w:before="25"/>
                      <w:ind w:left="0" w:right="0" w:firstLine="0"/>
                      <w:jc w:val="left"/>
                      <w:rPr>
                        <w:b/>
                        <w:i/>
                        <w:sz w:val="24"/>
                      </w:rPr>
                    </w:pPr>
                    <w:r>
                      <w:rPr>
                        <w:b/>
                        <w:i/>
                        <w:color w:val="231F20"/>
                        <w:sz w:val="24"/>
                      </w:rPr>
                      <w:t>Urban  Forest Strategy</w:t>
                    </w:r>
                  </w:p>
                </w:txbxContent>
              </v:textbox>
              <w10:wrap type="none"/>
            </v:shape>
            <v:shape style="position:absolute;left:3798;top:1079;width:1337;height:322" type="#_x0000_t202" filled="false" stroked="false">
              <v:textbox inset="0,0,0,0">
                <w:txbxContent>
                  <w:p>
                    <w:pPr>
                      <w:spacing w:line="321" w:lineRule="exact" w:before="0"/>
                      <w:ind w:left="0" w:right="0" w:firstLine="0"/>
                      <w:jc w:val="left"/>
                      <w:rPr>
                        <w:b/>
                        <w:sz w:val="28"/>
                      </w:rPr>
                    </w:pPr>
                    <w:r>
                      <w:rPr>
                        <w:b/>
                        <w:color w:val="231F20"/>
                        <w:sz w:val="28"/>
                      </w:rPr>
                      <w:t>4. ACTIONS</w:t>
                    </w:r>
                  </w:p>
                </w:txbxContent>
              </v:textbox>
              <w10:wrap type="none"/>
            </v:shape>
          </v:group>
        </w:pict>
      </w:r>
      <w:r>
        <w:rPr>
          <w:sz w:val="20"/>
        </w:rPr>
      </w:r>
    </w:p>
    <w:p>
      <w:pPr>
        <w:pStyle w:val="BodyText"/>
        <w:rPr>
          <w:sz w:val="20"/>
        </w:rPr>
      </w:pPr>
    </w:p>
    <w:p>
      <w:pPr>
        <w:pStyle w:val="BodyText"/>
        <w:spacing w:before="3"/>
        <w:rPr>
          <w:sz w:val="21"/>
        </w:rPr>
      </w:pPr>
    </w:p>
    <w:p>
      <w:pPr>
        <w:spacing w:line="314" w:lineRule="auto" w:before="0"/>
        <w:ind w:left="106" w:right="812" w:firstLine="0"/>
        <w:jc w:val="left"/>
        <w:rPr>
          <w:sz w:val="20"/>
        </w:rPr>
      </w:pPr>
      <w:r>
        <w:rPr>
          <w:color w:val="231F20"/>
          <w:sz w:val="20"/>
        </w:rPr>
        <w:t>The following MUFS actions have been prioritised with consideration of current staff and funding resources. General indications of additional funding have been put against required outcomes, however formalised project bids will be made through Council's budget process for specific funding.</w:t>
      </w:r>
    </w:p>
    <w:p>
      <w:pPr>
        <w:pStyle w:val="BodyText"/>
        <w:spacing w:before="1" w:after="1"/>
        <w:rPr>
          <w:sz w:val="16"/>
        </w:rPr>
      </w:pPr>
    </w:p>
    <w:tbl>
      <w:tblPr>
        <w:tblW w:w="0" w:type="auto"/>
        <w:jc w:val="left"/>
        <w:tblInd w:w="10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850"/>
        <w:gridCol w:w="3966"/>
        <w:gridCol w:w="4252"/>
        <w:gridCol w:w="850"/>
      </w:tblGrid>
      <w:tr>
        <w:trPr>
          <w:trHeight w:val="448" w:hRule="atLeast"/>
        </w:trPr>
        <w:tc>
          <w:tcPr>
            <w:tcW w:w="567" w:type="dxa"/>
          </w:tcPr>
          <w:p>
            <w:pPr>
              <w:pStyle w:val="TableParagraph"/>
              <w:spacing w:before="140"/>
              <w:ind w:left="98" w:right="93"/>
              <w:jc w:val="center"/>
              <w:rPr>
                <w:b/>
                <w:sz w:val="18"/>
              </w:rPr>
            </w:pPr>
            <w:r>
              <w:rPr>
                <w:b/>
                <w:color w:val="231F20"/>
                <w:sz w:val="18"/>
              </w:rPr>
              <w:t>No.</w:t>
            </w:r>
          </w:p>
        </w:tc>
        <w:tc>
          <w:tcPr>
            <w:tcW w:w="850" w:type="dxa"/>
          </w:tcPr>
          <w:p>
            <w:pPr>
              <w:pStyle w:val="TableParagraph"/>
              <w:spacing w:before="140"/>
              <w:ind w:left="113" w:right="108"/>
              <w:jc w:val="center"/>
              <w:rPr>
                <w:b/>
                <w:sz w:val="18"/>
              </w:rPr>
            </w:pPr>
            <w:r>
              <w:rPr>
                <w:b/>
                <w:color w:val="231F20"/>
                <w:sz w:val="18"/>
              </w:rPr>
              <w:t>Priority</w:t>
            </w:r>
          </w:p>
        </w:tc>
        <w:tc>
          <w:tcPr>
            <w:tcW w:w="3966" w:type="dxa"/>
          </w:tcPr>
          <w:p>
            <w:pPr>
              <w:pStyle w:val="TableParagraph"/>
              <w:spacing w:before="140"/>
              <w:ind w:left="1692" w:right="1687"/>
              <w:jc w:val="center"/>
              <w:rPr>
                <w:b/>
                <w:sz w:val="18"/>
              </w:rPr>
            </w:pPr>
            <w:r>
              <w:rPr>
                <w:b/>
                <w:color w:val="231F20"/>
                <w:sz w:val="18"/>
              </w:rPr>
              <w:t>Actions</w:t>
            </w:r>
          </w:p>
        </w:tc>
        <w:tc>
          <w:tcPr>
            <w:tcW w:w="4252" w:type="dxa"/>
          </w:tcPr>
          <w:p>
            <w:pPr>
              <w:pStyle w:val="TableParagraph"/>
              <w:spacing w:before="140"/>
              <w:ind w:left="1786" w:right="1781"/>
              <w:jc w:val="center"/>
              <w:rPr>
                <w:b/>
                <w:sz w:val="18"/>
              </w:rPr>
            </w:pPr>
            <w:r>
              <w:rPr>
                <w:b/>
                <w:color w:val="231F20"/>
                <w:sz w:val="18"/>
              </w:rPr>
              <w:t>Outcome</w:t>
            </w:r>
          </w:p>
        </w:tc>
        <w:tc>
          <w:tcPr>
            <w:tcW w:w="850" w:type="dxa"/>
          </w:tcPr>
          <w:p>
            <w:pPr>
              <w:pStyle w:val="TableParagraph"/>
              <w:spacing w:before="140"/>
              <w:ind w:left="114" w:right="108"/>
              <w:jc w:val="center"/>
              <w:rPr>
                <w:b/>
                <w:sz w:val="18"/>
              </w:rPr>
            </w:pPr>
            <w:r>
              <w:rPr>
                <w:b/>
                <w:color w:val="231F20"/>
                <w:sz w:val="18"/>
              </w:rPr>
              <w:t>Funding</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HP</w:t>
            </w:r>
          </w:p>
        </w:tc>
        <w:tc>
          <w:tcPr>
            <w:tcW w:w="3966" w:type="dxa"/>
          </w:tcPr>
          <w:p>
            <w:pPr>
              <w:pStyle w:val="TableParagraph"/>
              <w:spacing w:line="183" w:lineRule="exact" w:before="19"/>
              <w:ind w:left="113"/>
              <w:rPr>
                <w:sz w:val="16"/>
              </w:rPr>
            </w:pPr>
            <w:r>
              <w:rPr>
                <w:color w:val="231F20"/>
                <w:sz w:val="16"/>
              </w:rPr>
              <w:t>High Priority</w:t>
            </w:r>
          </w:p>
        </w:tc>
        <w:tc>
          <w:tcPr>
            <w:tcW w:w="4252" w:type="dxa"/>
          </w:tcPr>
          <w:p>
            <w:pPr>
              <w:pStyle w:val="TableParagraph"/>
              <w:spacing w:line="183" w:lineRule="exact" w:before="19"/>
              <w:ind w:left="1032"/>
              <w:rPr>
                <w:sz w:val="16"/>
              </w:rPr>
            </w:pPr>
            <w:r>
              <w:rPr>
                <w:color w:val="231F20"/>
                <w:sz w:val="16"/>
              </w:rPr>
              <w:t>Require substantial additional funding</w:t>
            </w:r>
          </w:p>
        </w:tc>
        <w:tc>
          <w:tcPr>
            <w:tcW w:w="850" w:type="dxa"/>
          </w:tcPr>
          <w:p>
            <w:pPr>
              <w:pStyle w:val="TableParagraph"/>
              <w:spacing w:line="202" w:lineRule="exact"/>
              <w:ind w:left="5"/>
              <w:jc w:val="center"/>
              <w:rPr>
                <w:rFonts w:ascii="Arial" w:hAnsi="Arial"/>
                <w:b/>
                <w:sz w:val="24"/>
              </w:rPr>
            </w:pPr>
            <w:r>
              <w:rPr>
                <w:rFonts w:ascii="Arial" w:hAnsi="Arial"/>
                <w:b/>
                <w:color w:val="D34D49"/>
                <w:sz w:val="24"/>
              </w:rPr>
              <w:t>■</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MP</w:t>
            </w:r>
          </w:p>
        </w:tc>
        <w:tc>
          <w:tcPr>
            <w:tcW w:w="3966" w:type="dxa"/>
          </w:tcPr>
          <w:p>
            <w:pPr>
              <w:pStyle w:val="TableParagraph"/>
              <w:spacing w:line="183" w:lineRule="exact" w:before="19"/>
              <w:ind w:left="113"/>
              <w:rPr>
                <w:sz w:val="16"/>
              </w:rPr>
            </w:pPr>
            <w:r>
              <w:rPr>
                <w:color w:val="231F20"/>
                <w:sz w:val="16"/>
              </w:rPr>
              <w:t>Medium Priority</w:t>
            </w:r>
          </w:p>
        </w:tc>
        <w:tc>
          <w:tcPr>
            <w:tcW w:w="4252" w:type="dxa"/>
          </w:tcPr>
          <w:p>
            <w:pPr>
              <w:pStyle w:val="TableParagraph"/>
              <w:spacing w:line="183" w:lineRule="exact" w:before="19"/>
              <w:ind w:left="1163"/>
              <w:rPr>
                <w:sz w:val="16"/>
              </w:rPr>
            </w:pPr>
            <w:r>
              <w:rPr>
                <w:color w:val="231F20"/>
                <w:sz w:val="16"/>
              </w:rPr>
              <w:t>Some additional funding required</w:t>
            </w:r>
          </w:p>
        </w:tc>
        <w:tc>
          <w:tcPr>
            <w:tcW w:w="850" w:type="dxa"/>
          </w:tcPr>
          <w:p>
            <w:pPr>
              <w:pStyle w:val="TableParagraph"/>
              <w:spacing w:line="202" w:lineRule="exact"/>
              <w:ind w:left="5"/>
              <w:jc w:val="center"/>
              <w:rPr>
                <w:rFonts w:ascii="Arial"/>
                <w:sz w:val="24"/>
              </w:rPr>
            </w:pPr>
            <w:r>
              <w:rPr>
                <w:rFonts w:ascii="Arial"/>
                <w:color w:val="FDB933"/>
                <w:w w:val="268"/>
                <w:sz w:val="24"/>
              </w:rPr>
              <w:t>t</w:t>
            </w:r>
          </w:p>
        </w:tc>
      </w:tr>
      <w:tr>
        <w:trPr>
          <w:trHeight w:val="214" w:hRule="atLeast"/>
        </w:trPr>
        <w:tc>
          <w:tcPr>
            <w:tcW w:w="567" w:type="dxa"/>
            <w:tcBorders>
              <w:bottom w:val="single" w:sz="8" w:space="0" w:color="231F20"/>
            </w:tcBorders>
          </w:tcPr>
          <w:p>
            <w:pPr>
              <w:pStyle w:val="TableParagraph"/>
              <w:rPr>
                <w:rFonts w:ascii="Times New Roman"/>
                <w:sz w:val="14"/>
              </w:rPr>
            </w:pPr>
          </w:p>
        </w:tc>
        <w:tc>
          <w:tcPr>
            <w:tcW w:w="850" w:type="dxa"/>
            <w:tcBorders>
              <w:bottom w:val="single" w:sz="8" w:space="0" w:color="231F20"/>
            </w:tcBorders>
          </w:tcPr>
          <w:p>
            <w:pPr>
              <w:pStyle w:val="TableParagraph"/>
              <w:spacing w:line="172" w:lineRule="exact" w:before="22"/>
              <w:ind w:left="114" w:right="107"/>
              <w:jc w:val="center"/>
              <w:rPr>
                <w:b/>
                <w:sz w:val="18"/>
              </w:rPr>
            </w:pPr>
            <w:r>
              <w:rPr>
                <w:b/>
                <w:color w:val="231F20"/>
                <w:sz w:val="18"/>
              </w:rPr>
              <w:t>LP</w:t>
            </w:r>
          </w:p>
        </w:tc>
        <w:tc>
          <w:tcPr>
            <w:tcW w:w="3966" w:type="dxa"/>
            <w:tcBorders>
              <w:bottom w:val="single" w:sz="8" w:space="0" w:color="231F20"/>
            </w:tcBorders>
          </w:tcPr>
          <w:p>
            <w:pPr>
              <w:pStyle w:val="TableParagraph"/>
              <w:spacing w:line="179" w:lineRule="exact" w:before="15"/>
              <w:ind w:left="113"/>
              <w:rPr>
                <w:sz w:val="16"/>
              </w:rPr>
            </w:pPr>
            <w:r>
              <w:rPr>
                <w:color w:val="231F20"/>
                <w:sz w:val="16"/>
              </w:rPr>
              <w:t>Low Priority</w:t>
            </w:r>
          </w:p>
        </w:tc>
        <w:tc>
          <w:tcPr>
            <w:tcW w:w="4252" w:type="dxa"/>
            <w:tcBorders>
              <w:bottom w:val="single" w:sz="8" w:space="0" w:color="231F20"/>
            </w:tcBorders>
          </w:tcPr>
          <w:p>
            <w:pPr>
              <w:pStyle w:val="TableParagraph"/>
              <w:spacing w:line="179" w:lineRule="exact" w:before="15"/>
              <w:ind w:left="313"/>
              <w:rPr>
                <w:sz w:val="16"/>
              </w:rPr>
            </w:pPr>
            <w:r>
              <w:rPr>
                <w:color w:val="231F20"/>
                <w:sz w:val="16"/>
              </w:rPr>
              <w:t>Little / no additional funding required — use existing resources</w:t>
            </w:r>
          </w:p>
        </w:tc>
        <w:tc>
          <w:tcPr>
            <w:tcW w:w="850" w:type="dxa"/>
            <w:tcBorders>
              <w:bottom w:val="single" w:sz="8" w:space="0" w:color="231F20"/>
            </w:tcBorders>
          </w:tcPr>
          <w:p>
            <w:pPr>
              <w:pStyle w:val="TableParagraph"/>
              <w:spacing w:line="194" w:lineRule="exact"/>
              <w:ind w:left="5"/>
              <w:jc w:val="center"/>
              <w:rPr>
                <w:rFonts w:ascii="Arial"/>
                <w:sz w:val="24"/>
              </w:rPr>
            </w:pPr>
            <w:r>
              <w:rPr>
                <w:rFonts w:ascii="Arial"/>
                <w:color w:val="1BB78D"/>
                <w:w w:val="336"/>
                <w:sz w:val="24"/>
              </w:rPr>
              <w:t>l</w:t>
            </w:r>
          </w:p>
        </w:tc>
      </w:tr>
      <w:tr>
        <w:trPr>
          <w:trHeight w:val="448" w:hRule="atLeast"/>
        </w:trPr>
        <w:tc>
          <w:tcPr>
            <w:tcW w:w="567" w:type="dxa"/>
            <w:tcBorders>
              <w:top w:val="single" w:sz="8" w:space="0" w:color="231F20"/>
            </w:tcBorders>
          </w:tcPr>
          <w:p>
            <w:pPr>
              <w:pStyle w:val="TableParagraph"/>
              <w:spacing w:before="140"/>
              <w:ind w:left="4"/>
              <w:jc w:val="center"/>
              <w:rPr>
                <w:b/>
                <w:sz w:val="18"/>
              </w:rPr>
            </w:pPr>
            <w:r>
              <w:rPr>
                <w:b/>
                <w:color w:val="231F20"/>
                <w:sz w:val="18"/>
              </w:rPr>
              <w:t>1</w:t>
            </w:r>
          </w:p>
        </w:tc>
        <w:tc>
          <w:tcPr>
            <w:tcW w:w="850" w:type="dxa"/>
            <w:tcBorders>
              <w:top w:val="single" w:sz="8" w:space="0" w:color="231F20"/>
            </w:tcBorders>
          </w:tcPr>
          <w:p>
            <w:pPr>
              <w:pStyle w:val="TableParagraph"/>
              <w:rPr>
                <w:rFonts w:ascii="Times New Roman"/>
                <w:sz w:val="18"/>
              </w:rPr>
            </w:pPr>
          </w:p>
        </w:tc>
        <w:tc>
          <w:tcPr>
            <w:tcW w:w="9068" w:type="dxa"/>
            <w:gridSpan w:val="3"/>
            <w:tcBorders>
              <w:top w:val="single" w:sz="8" w:space="0" w:color="231F20"/>
            </w:tcBorders>
          </w:tcPr>
          <w:p>
            <w:pPr>
              <w:pStyle w:val="TableParagraph"/>
              <w:spacing w:before="140"/>
              <w:ind w:left="113"/>
              <w:rPr>
                <w:b/>
                <w:sz w:val="18"/>
              </w:rPr>
            </w:pPr>
            <w:r>
              <w:rPr>
                <w:b/>
                <w:color w:val="231F20"/>
                <w:sz w:val="18"/>
              </w:rPr>
              <w:t>Action 1: Identification, Evaluation and Monitoring of the Urban Forest</w:t>
            </w:r>
          </w:p>
        </w:tc>
      </w:tr>
      <w:tr>
        <w:trPr>
          <w:trHeight w:val="476" w:hRule="atLeast"/>
        </w:trPr>
        <w:tc>
          <w:tcPr>
            <w:tcW w:w="567" w:type="dxa"/>
          </w:tcPr>
          <w:p>
            <w:pPr>
              <w:pStyle w:val="TableParagraph"/>
              <w:spacing w:before="154"/>
              <w:ind w:left="98" w:right="94"/>
              <w:jc w:val="center"/>
              <w:rPr>
                <w:b/>
                <w:sz w:val="18"/>
              </w:rPr>
            </w:pPr>
            <w:r>
              <w:rPr>
                <w:b/>
                <w:color w:val="231F20"/>
                <w:sz w:val="18"/>
              </w:rPr>
              <w:t>1.1</w:t>
            </w:r>
          </w:p>
        </w:tc>
        <w:tc>
          <w:tcPr>
            <w:tcW w:w="850" w:type="dxa"/>
          </w:tcPr>
          <w:p>
            <w:pPr>
              <w:pStyle w:val="TableParagraph"/>
              <w:spacing w:before="154"/>
              <w:ind w:left="114" w:right="107"/>
              <w:jc w:val="center"/>
              <w:rPr>
                <w:b/>
                <w:sz w:val="18"/>
              </w:rPr>
            </w:pPr>
            <w:r>
              <w:rPr>
                <w:b/>
                <w:color w:val="231F20"/>
                <w:sz w:val="18"/>
              </w:rPr>
              <w:t>HP</w:t>
            </w:r>
          </w:p>
        </w:tc>
        <w:tc>
          <w:tcPr>
            <w:tcW w:w="3966" w:type="dxa"/>
          </w:tcPr>
          <w:p>
            <w:pPr>
              <w:pStyle w:val="TableParagraph"/>
              <w:spacing w:line="200" w:lineRule="exact" w:before="62"/>
              <w:ind w:left="113" w:right="307"/>
              <w:rPr>
                <w:b/>
                <w:sz w:val="18"/>
              </w:rPr>
            </w:pPr>
            <w:r>
              <w:rPr>
                <w:b/>
                <w:color w:val="231F20"/>
                <w:sz w:val="18"/>
              </w:rPr>
              <w:t>Update data base of all Council Trees &amp; maintain ‘live’ Urban Forest data base</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178"/>
              <w:ind w:left="113"/>
              <w:rPr>
                <w:sz w:val="18"/>
              </w:rPr>
            </w:pPr>
            <w:r>
              <w:rPr>
                <w:color w:val="231F20"/>
                <w:sz w:val="18"/>
              </w:rPr>
              <w:t>Determine scope of existing street and park data base</w:t>
            </w:r>
          </w:p>
        </w:tc>
        <w:tc>
          <w:tcPr>
            <w:tcW w:w="4252" w:type="dxa"/>
          </w:tcPr>
          <w:p>
            <w:pPr>
              <w:pStyle w:val="TableParagraph"/>
              <w:spacing w:before="178"/>
              <w:ind w:left="113"/>
              <w:rPr>
                <w:sz w:val="18"/>
              </w:rPr>
            </w:pPr>
            <w:r>
              <w:rPr>
                <w:color w:val="231F20"/>
                <w:sz w:val="18"/>
              </w:rPr>
              <w:t>Existing data base assessed and missing data identified</w:t>
            </w:r>
          </w:p>
        </w:tc>
        <w:tc>
          <w:tcPr>
            <w:tcW w:w="850" w:type="dxa"/>
          </w:tcPr>
          <w:p>
            <w:pPr>
              <w:pStyle w:val="TableParagraph"/>
              <w:spacing w:before="148"/>
              <w:ind w:left="5"/>
              <w:jc w:val="center"/>
              <w:rPr>
                <w:rFonts w:ascii="Arial"/>
                <w:sz w:val="24"/>
              </w:rPr>
            </w:pPr>
            <w:r>
              <w:rPr>
                <w:rFonts w:ascii="Arial"/>
                <w:color w:val="1BB78D"/>
                <w:w w:val="336"/>
                <w:sz w:val="24"/>
              </w:rPr>
              <w:t>l</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03" w:lineRule="exact" w:before="78"/>
              <w:ind w:left="113"/>
              <w:rPr>
                <w:sz w:val="18"/>
              </w:rPr>
            </w:pPr>
            <w:r>
              <w:rPr>
                <w:color w:val="231F20"/>
                <w:sz w:val="18"/>
              </w:rPr>
              <w:t>Scope tree asset data collection including software and</w:t>
            </w:r>
          </w:p>
          <w:p>
            <w:pPr>
              <w:pStyle w:val="TableParagraph"/>
              <w:spacing w:line="203" w:lineRule="exact"/>
              <w:ind w:left="113"/>
              <w:rPr>
                <w:sz w:val="18"/>
              </w:rPr>
            </w:pPr>
            <w:r>
              <w:rPr>
                <w:color w:val="231F20"/>
                <w:sz w:val="18"/>
              </w:rPr>
              <w:t>hardware compatibility for field updating</w:t>
            </w:r>
          </w:p>
        </w:tc>
        <w:tc>
          <w:tcPr>
            <w:tcW w:w="4252" w:type="dxa"/>
          </w:tcPr>
          <w:p>
            <w:pPr>
              <w:pStyle w:val="TableParagraph"/>
              <w:spacing w:before="178"/>
              <w:ind w:left="113"/>
              <w:rPr>
                <w:sz w:val="18"/>
              </w:rPr>
            </w:pPr>
            <w:r>
              <w:rPr>
                <w:color w:val="231F20"/>
                <w:sz w:val="18"/>
              </w:rPr>
              <w:t>Scoping of software and hardware carried out</w:t>
            </w:r>
          </w:p>
        </w:tc>
        <w:tc>
          <w:tcPr>
            <w:tcW w:w="850" w:type="dxa"/>
          </w:tcPr>
          <w:p>
            <w:pPr>
              <w:pStyle w:val="TableParagraph"/>
              <w:spacing w:before="148"/>
              <w:ind w:left="5"/>
              <w:jc w:val="center"/>
              <w:rPr>
                <w:rFonts w:ascii="Arial"/>
                <w:sz w:val="24"/>
              </w:rPr>
            </w:pPr>
            <w:r>
              <w:rPr>
                <w:rFonts w:ascii="Arial"/>
                <w:color w:val="1BB78D"/>
                <w:w w:val="336"/>
                <w:sz w:val="24"/>
              </w:rPr>
              <w:t>l</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03" w:lineRule="exact" w:before="78"/>
              <w:ind w:left="113"/>
              <w:rPr>
                <w:sz w:val="18"/>
              </w:rPr>
            </w:pPr>
            <w:r>
              <w:rPr>
                <w:color w:val="231F20"/>
                <w:sz w:val="18"/>
              </w:rPr>
              <w:t>Integration of tree data into Asset Master as live field</w:t>
            </w:r>
          </w:p>
          <w:p>
            <w:pPr>
              <w:pStyle w:val="TableParagraph"/>
              <w:spacing w:line="203" w:lineRule="exact"/>
              <w:ind w:left="113"/>
              <w:rPr>
                <w:sz w:val="18"/>
              </w:rPr>
            </w:pPr>
            <w:r>
              <w:rPr>
                <w:color w:val="231F20"/>
                <w:sz w:val="18"/>
              </w:rPr>
              <w:t>updateable asset data set.</w:t>
            </w:r>
          </w:p>
        </w:tc>
        <w:tc>
          <w:tcPr>
            <w:tcW w:w="4252" w:type="dxa"/>
          </w:tcPr>
          <w:p>
            <w:pPr>
              <w:pStyle w:val="TableParagraph"/>
              <w:spacing w:line="232" w:lineRule="auto" w:before="101"/>
              <w:ind w:left="113" w:right="840"/>
              <w:rPr>
                <w:b/>
                <w:sz w:val="18"/>
              </w:rPr>
            </w:pPr>
            <w:r>
              <w:rPr>
                <w:b/>
                <w:color w:val="231F20"/>
                <w:sz w:val="18"/>
              </w:rPr>
              <w:t>Public Tree Asset Inventory completed (Council streets and parks asset)</w:t>
            </w:r>
          </w:p>
        </w:tc>
        <w:tc>
          <w:tcPr>
            <w:tcW w:w="850" w:type="dxa"/>
          </w:tcPr>
          <w:p>
            <w:pPr>
              <w:pStyle w:val="TableParagraph"/>
              <w:spacing w:before="143"/>
              <w:ind w:left="5"/>
              <w:jc w:val="center"/>
              <w:rPr>
                <w:rFonts w:ascii="Arial" w:hAnsi="Arial"/>
                <w:b/>
                <w:sz w:val="24"/>
              </w:rPr>
            </w:pPr>
            <w:r>
              <w:rPr>
                <w:rFonts w:ascii="Arial" w:hAnsi="Arial"/>
                <w:b/>
                <w:color w:val="D34D49"/>
                <w:sz w:val="24"/>
              </w:rPr>
              <w:t>■</w:t>
            </w:r>
          </w:p>
        </w:tc>
      </w:tr>
      <w:tr>
        <w:trPr>
          <w:trHeight w:val="561" w:hRule="atLeast"/>
        </w:trPr>
        <w:tc>
          <w:tcPr>
            <w:tcW w:w="567" w:type="dxa"/>
            <w:vMerge w:val="restart"/>
          </w:tcPr>
          <w:p>
            <w:pPr>
              <w:pStyle w:val="TableParagraph"/>
              <w:rPr>
                <w:rFonts w:ascii="Times New Roman"/>
                <w:sz w:val="18"/>
              </w:rPr>
            </w:pPr>
          </w:p>
        </w:tc>
        <w:tc>
          <w:tcPr>
            <w:tcW w:w="850" w:type="dxa"/>
            <w:vMerge w:val="restart"/>
          </w:tcPr>
          <w:p>
            <w:pPr>
              <w:pStyle w:val="TableParagraph"/>
              <w:rPr>
                <w:rFonts w:ascii="Times New Roman"/>
                <w:sz w:val="18"/>
              </w:rPr>
            </w:pPr>
          </w:p>
        </w:tc>
        <w:tc>
          <w:tcPr>
            <w:tcW w:w="3966" w:type="dxa"/>
            <w:vMerge w:val="restart"/>
          </w:tcPr>
          <w:p>
            <w:pPr>
              <w:pStyle w:val="TableParagraph"/>
              <w:rPr>
                <w:sz w:val="20"/>
              </w:rPr>
            </w:pPr>
          </w:p>
          <w:p>
            <w:pPr>
              <w:pStyle w:val="TableParagraph"/>
              <w:spacing w:line="232" w:lineRule="auto" w:before="137"/>
              <w:ind w:left="113"/>
              <w:rPr>
                <w:sz w:val="18"/>
              </w:rPr>
            </w:pPr>
            <w:r>
              <w:rPr>
                <w:color w:val="231F20"/>
                <w:sz w:val="18"/>
              </w:rPr>
              <w:t>Qualitative assessment of Public Tree Asset to guide allocation of management resources.</w:t>
            </w:r>
          </w:p>
        </w:tc>
        <w:tc>
          <w:tcPr>
            <w:tcW w:w="4252" w:type="dxa"/>
          </w:tcPr>
          <w:p>
            <w:pPr>
              <w:pStyle w:val="TableParagraph"/>
              <w:spacing w:line="203" w:lineRule="exact" w:before="96"/>
              <w:ind w:left="113"/>
              <w:rPr>
                <w:sz w:val="18"/>
              </w:rPr>
            </w:pPr>
            <w:r>
              <w:rPr>
                <w:color w:val="231F20"/>
                <w:sz w:val="18"/>
              </w:rPr>
              <w:t>Quantum of </w:t>
            </w:r>
            <w:r>
              <w:rPr>
                <w:b/>
                <w:color w:val="231F20"/>
                <w:sz w:val="18"/>
              </w:rPr>
              <w:t>resources required </w:t>
            </w:r>
            <w:r>
              <w:rPr>
                <w:color w:val="231F20"/>
                <w:sz w:val="18"/>
              </w:rPr>
              <w:t>for public tree management</w:t>
            </w:r>
          </w:p>
          <w:p>
            <w:pPr>
              <w:pStyle w:val="TableParagraph"/>
              <w:spacing w:line="203" w:lineRule="exact"/>
              <w:ind w:left="113"/>
              <w:rPr>
                <w:sz w:val="18"/>
              </w:rPr>
            </w:pPr>
            <w:r>
              <w:rPr>
                <w:color w:val="231F20"/>
                <w:sz w:val="18"/>
              </w:rPr>
              <w:t>identified</w:t>
            </w:r>
          </w:p>
        </w:tc>
        <w:tc>
          <w:tcPr>
            <w:tcW w:w="850" w:type="dxa"/>
          </w:tcPr>
          <w:p>
            <w:pPr>
              <w:pStyle w:val="TableParagraph"/>
              <w:spacing w:before="148"/>
              <w:ind w:left="5"/>
              <w:jc w:val="center"/>
              <w:rPr>
                <w:rFonts w:ascii="Arial"/>
                <w:sz w:val="24"/>
              </w:rPr>
            </w:pPr>
            <w:r>
              <w:rPr>
                <w:rFonts w:ascii="Arial"/>
                <w:color w:val="1BB78D"/>
                <w:w w:val="336"/>
                <w:sz w:val="24"/>
              </w:rPr>
              <w:t>l</w:t>
            </w:r>
          </w:p>
        </w:tc>
      </w:tr>
      <w:tr>
        <w:trPr>
          <w:trHeight w:val="561" w:hRule="atLeast"/>
        </w:trPr>
        <w:tc>
          <w:tcPr>
            <w:tcW w:w="567" w:type="dxa"/>
            <w:vMerge/>
            <w:tcBorders>
              <w:top w:val="nil"/>
            </w:tcBorders>
          </w:tcPr>
          <w:p>
            <w:pPr>
              <w:rPr>
                <w:sz w:val="2"/>
                <w:szCs w:val="2"/>
              </w:rPr>
            </w:pPr>
          </w:p>
        </w:tc>
        <w:tc>
          <w:tcPr>
            <w:tcW w:w="850" w:type="dxa"/>
            <w:vMerge/>
            <w:tcBorders>
              <w:top w:val="nil"/>
            </w:tcBorders>
          </w:tcPr>
          <w:p>
            <w:pPr>
              <w:rPr>
                <w:sz w:val="2"/>
                <w:szCs w:val="2"/>
              </w:rPr>
            </w:pPr>
          </w:p>
        </w:tc>
        <w:tc>
          <w:tcPr>
            <w:tcW w:w="3966" w:type="dxa"/>
            <w:vMerge/>
            <w:tcBorders>
              <w:top w:val="nil"/>
            </w:tcBorders>
          </w:tcPr>
          <w:p>
            <w:pPr>
              <w:rPr>
                <w:sz w:val="2"/>
                <w:szCs w:val="2"/>
              </w:rPr>
            </w:pPr>
          </w:p>
        </w:tc>
        <w:tc>
          <w:tcPr>
            <w:tcW w:w="4252" w:type="dxa"/>
          </w:tcPr>
          <w:p>
            <w:pPr>
              <w:pStyle w:val="TableParagraph"/>
              <w:spacing w:before="178"/>
              <w:ind w:left="113"/>
              <w:rPr>
                <w:sz w:val="18"/>
              </w:rPr>
            </w:pPr>
            <w:r>
              <w:rPr>
                <w:color w:val="231F20"/>
                <w:sz w:val="18"/>
              </w:rPr>
              <w:t>Trees Requiring high level maintenance identified</w:t>
            </w:r>
          </w:p>
        </w:tc>
        <w:tc>
          <w:tcPr>
            <w:tcW w:w="850" w:type="dxa"/>
          </w:tcPr>
          <w:p>
            <w:pPr>
              <w:pStyle w:val="TableParagraph"/>
              <w:spacing w:before="148"/>
              <w:ind w:left="5"/>
              <w:jc w:val="center"/>
              <w:rPr>
                <w:rFonts w:ascii="Arial"/>
                <w:sz w:val="24"/>
              </w:rPr>
            </w:pPr>
            <w:r>
              <w:rPr>
                <w:rFonts w:ascii="Arial"/>
                <w:color w:val="1BB78D"/>
                <w:w w:val="336"/>
                <w:sz w:val="24"/>
              </w:rPr>
              <w:t>l</w:t>
            </w:r>
          </w:p>
        </w:tc>
      </w:tr>
      <w:tr>
        <w:trPr>
          <w:trHeight w:val="335" w:hRule="atLeast"/>
        </w:trPr>
        <w:tc>
          <w:tcPr>
            <w:tcW w:w="567" w:type="dxa"/>
          </w:tcPr>
          <w:p>
            <w:pPr>
              <w:pStyle w:val="TableParagraph"/>
              <w:spacing w:before="83"/>
              <w:ind w:left="98" w:right="94"/>
              <w:jc w:val="center"/>
              <w:rPr>
                <w:b/>
                <w:sz w:val="18"/>
              </w:rPr>
            </w:pPr>
            <w:r>
              <w:rPr>
                <w:b/>
                <w:color w:val="231F20"/>
                <w:sz w:val="18"/>
              </w:rPr>
              <w:t>1.2</w:t>
            </w:r>
          </w:p>
        </w:tc>
        <w:tc>
          <w:tcPr>
            <w:tcW w:w="850" w:type="dxa"/>
          </w:tcPr>
          <w:p>
            <w:pPr>
              <w:pStyle w:val="TableParagraph"/>
              <w:spacing w:before="83"/>
              <w:ind w:left="114" w:right="107"/>
              <w:jc w:val="center"/>
              <w:rPr>
                <w:b/>
                <w:sz w:val="18"/>
              </w:rPr>
            </w:pPr>
            <w:r>
              <w:rPr>
                <w:b/>
                <w:color w:val="231F20"/>
                <w:sz w:val="18"/>
              </w:rPr>
              <w:t>HP</w:t>
            </w:r>
          </w:p>
        </w:tc>
        <w:tc>
          <w:tcPr>
            <w:tcW w:w="3966" w:type="dxa"/>
          </w:tcPr>
          <w:p>
            <w:pPr>
              <w:pStyle w:val="TableParagraph"/>
              <w:spacing w:before="83"/>
              <w:ind w:left="113"/>
              <w:rPr>
                <w:b/>
                <w:sz w:val="18"/>
              </w:rPr>
            </w:pPr>
            <w:r>
              <w:rPr>
                <w:b/>
                <w:color w:val="231F20"/>
                <w:sz w:val="18"/>
              </w:rPr>
              <w:t>Assessment of % existing urban forest canopy cover</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1809"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rPr>
                <w:sz w:val="20"/>
              </w:rPr>
            </w:pPr>
          </w:p>
          <w:p>
            <w:pPr>
              <w:pStyle w:val="TableParagraph"/>
              <w:spacing w:before="1"/>
              <w:rPr>
                <w:sz w:val="24"/>
              </w:rPr>
            </w:pPr>
          </w:p>
          <w:p>
            <w:pPr>
              <w:pStyle w:val="TableParagraph"/>
              <w:spacing w:line="232" w:lineRule="auto"/>
              <w:ind w:left="113" w:right="307"/>
              <w:rPr>
                <w:sz w:val="18"/>
              </w:rPr>
            </w:pPr>
            <w:r>
              <w:rPr>
                <w:color w:val="231F20"/>
                <w:sz w:val="18"/>
              </w:rPr>
              <w:t>Air photo assessment of urban forest from 1980 every decade to 2010 to determine % existing Marrickville canopy cover and change over time — GIS Mapping assessment by specialist consultant</w:t>
            </w:r>
          </w:p>
        </w:tc>
        <w:tc>
          <w:tcPr>
            <w:tcW w:w="4252" w:type="dxa"/>
          </w:tcPr>
          <w:p>
            <w:pPr>
              <w:pStyle w:val="TableParagraph"/>
              <w:spacing w:line="203" w:lineRule="exact" w:before="115"/>
              <w:ind w:left="113"/>
              <w:rPr>
                <w:b/>
                <w:sz w:val="18"/>
              </w:rPr>
            </w:pPr>
            <w:r>
              <w:rPr>
                <w:color w:val="231F20"/>
                <w:sz w:val="18"/>
              </w:rPr>
              <w:t>Existing </w:t>
            </w:r>
            <w:r>
              <w:rPr>
                <w:b/>
                <w:color w:val="231F20"/>
                <w:sz w:val="18"/>
              </w:rPr>
              <w:t>% canopy cover measured</w:t>
            </w:r>
          </w:p>
          <w:p>
            <w:pPr>
              <w:pStyle w:val="TableParagraph"/>
              <w:spacing w:line="203" w:lineRule="exact"/>
              <w:ind w:left="113"/>
              <w:rPr>
                <w:sz w:val="18"/>
              </w:rPr>
            </w:pPr>
            <w:r>
              <w:rPr>
                <w:color w:val="231F20"/>
                <w:sz w:val="18"/>
              </w:rPr>
              <w:t>and </w:t>
            </w:r>
            <w:r>
              <w:rPr>
                <w:b/>
                <w:color w:val="231F20"/>
                <w:sz w:val="18"/>
              </w:rPr>
              <w:t>Benchmark set </w:t>
            </w:r>
            <w:r>
              <w:rPr>
                <w:color w:val="231F20"/>
                <w:sz w:val="18"/>
              </w:rPr>
              <w:t>for:</w:t>
            </w:r>
          </w:p>
          <w:p>
            <w:pPr>
              <w:pStyle w:val="TableParagraph"/>
              <w:numPr>
                <w:ilvl w:val="0"/>
                <w:numId w:val="9"/>
              </w:numPr>
              <w:tabs>
                <w:tab w:pos="284" w:val="left" w:leader="none"/>
              </w:tabs>
              <w:spacing w:line="240" w:lineRule="auto" w:before="50" w:after="0"/>
              <w:ind w:left="283" w:right="0" w:hanging="170"/>
              <w:jc w:val="left"/>
              <w:rPr>
                <w:sz w:val="18"/>
              </w:rPr>
            </w:pPr>
            <w:r>
              <w:rPr>
                <w:color w:val="231F20"/>
                <w:sz w:val="18"/>
              </w:rPr>
              <w:t>public</w:t>
            </w:r>
            <w:r>
              <w:rPr>
                <w:color w:val="231F20"/>
                <w:spacing w:val="-2"/>
                <w:sz w:val="18"/>
              </w:rPr>
              <w:t> </w:t>
            </w:r>
            <w:r>
              <w:rPr>
                <w:color w:val="231F20"/>
                <w:sz w:val="18"/>
              </w:rPr>
              <w:t>land</w:t>
            </w:r>
          </w:p>
          <w:p>
            <w:pPr>
              <w:pStyle w:val="TableParagraph"/>
              <w:numPr>
                <w:ilvl w:val="0"/>
                <w:numId w:val="9"/>
              </w:numPr>
              <w:tabs>
                <w:tab w:pos="284" w:val="left" w:leader="none"/>
              </w:tabs>
              <w:spacing w:line="240" w:lineRule="auto" w:before="50" w:after="0"/>
              <w:ind w:left="283" w:right="0" w:hanging="170"/>
              <w:jc w:val="left"/>
              <w:rPr>
                <w:sz w:val="18"/>
              </w:rPr>
            </w:pPr>
            <w:r>
              <w:rPr>
                <w:color w:val="231F20"/>
                <w:sz w:val="18"/>
              </w:rPr>
              <w:t>private land ( incl. “Not for Profit” Organisation</w:t>
            </w:r>
            <w:r>
              <w:rPr>
                <w:color w:val="231F20"/>
                <w:spacing w:val="-18"/>
                <w:sz w:val="18"/>
              </w:rPr>
              <w:t> </w:t>
            </w:r>
            <w:r>
              <w:rPr>
                <w:color w:val="231F20"/>
                <w:sz w:val="18"/>
              </w:rPr>
              <w:t>Lands)</w:t>
            </w:r>
          </w:p>
          <w:p>
            <w:pPr>
              <w:pStyle w:val="TableParagraph"/>
              <w:numPr>
                <w:ilvl w:val="0"/>
                <w:numId w:val="9"/>
              </w:numPr>
              <w:tabs>
                <w:tab w:pos="284" w:val="left" w:leader="none"/>
              </w:tabs>
              <w:spacing w:line="240" w:lineRule="auto" w:before="50" w:after="0"/>
              <w:ind w:left="283" w:right="0" w:hanging="170"/>
              <w:jc w:val="left"/>
              <w:rPr>
                <w:sz w:val="18"/>
              </w:rPr>
            </w:pPr>
            <w:r>
              <w:rPr>
                <w:color w:val="231F20"/>
                <w:sz w:val="18"/>
              </w:rPr>
              <w:t>crown land (SRA, </w:t>
            </w:r>
            <w:r>
              <w:rPr>
                <w:color w:val="231F20"/>
                <w:spacing w:val="-5"/>
                <w:sz w:val="18"/>
              </w:rPr>
              <w:t>DET,</w:t>
            </w:r>
            <w:r>
              <w:rPr>
                <w:color w:val="231F20"/>
                <w:spacing w:val="-4"/>
                <w:sz w:val="18"/>
              </w:rPr>
              <w:t> RTA)</w:t>
            </w:r>
          </w:p>
          <w:p>
            <w:pPr>
              <w:pStyle w:val="TableParagraph"/>
              <w:numPr>
                <w:ilvl w:val="1"/>
                <w:numId w:val="9"/>
              </w:numPr>
              <w:tabs>
                <w:tab w:pos="398" w:val="left" w:leader="none"/>
              </w:tabs>
              <w:spacing w:line="232" w:lineRule="auto" w:before="39" w:after="0"/>
              <w:ind w:left="397" w:right="622" w:hanging="114"/>
              <w:jc w:val="left"/>
              <w:rPr>
                <w:sz w:val="18"/>
              </w:rPr>
            </w:pPr>
            <w:r>
              <w:rPr>
                <w:color w:val="231F20"/>
                <w:sz w:val="18"/>
              </w:rPr>
              <w:t>Information provided for State of the Environment Reporting</w:t>
            </w:r>
          </w:p>
        </w:tc>
        <w:tc>
          <w:tcPr>
            <w:tcW w:w="850" w:type="dxa"/>
          </w:tcPr>
          <w:p>
            <w:pPr>
              <w:pStyle w:val="TableParagraph"/>
              <w:rPr>
                <w:sz w:val="26"/>
              </w:rPr>
            </w:pPr>
          </w:p>
          <w:p>
            <w:pPr>
              <w:pStyle w:val="TableParagraph"/>
              <w:rPr>
                <w:sz w:val="26"/>
              </w:rPr>
            </w:pPr>
          </w:p>
          <w:p>
            <w:pPr>
              <w:pStyle w:val="TableParagraph"/>
              <w:spacing w:before="170"/>
              <w:ind w:left="5"/>
              <w:jc w:val="center"/>
              <w:rPr>
                <w:rFonts w:ascii="Arial" w:hAnsi="Arial"/>
                <w:b/>
                <w:sz w:val="24"/>
              </w:rPr>
            </w:pPr>
            <w:r>
              <w:rPr>
                <w:rFonts w:ascii="Arial" w:hAnsi="Arial"/>
                <w:b/>
                <w:color w:val="D34D49"/>
                <w:sz w:val="24"/>
              </w:rPr>
              <w:t>■</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09"/>
              <w:ind w:left="113" w:right="374"/>
              <w:rPr>
                <w:sz w:val="18"/>
              </w:rPr>
            </w:pPr>
            <w:r>
              <w:rPr>
                <w:color w:val="231F20"/>
                <w:sz w:val="18"/>
              </w:rPr>
              <w:t>Determine realistic % canopy increase (&amp; time scale) and program (council trees) / methods (private trees DA guide with mechanisms for conservation &amp;/ or compensatory planting requirements etc)</w:t>
            </w:r>
          </w:p>
        </w:tc>
        <w:tc>
          <w:tcPr>
            <w:tcW w:w="4252" w:type="dxa"/>
          </w:tcPr>
          <w:p>
            <w:pPr>
              <w:pStyle w:val="TableParagraph"/>
              <w:spacing w:before="11"/>
              <w:rPr>
                <w:sz w:val="16"/>
              </w:rPr>
            </w:pPr>
          </w:p>
          <w:p>
            <w:pPr>
              <w:pStyle w:val="TableParagraph"/>
              <w:numPr>
                <w:ilvl w:val="0"/>
                <w:numId w:val="10"/>
              </w:numPr>
              <w:tabs>
                <w:tab w:pos="284" w:val="left" w:leader="none"/>
              </w:tabs>
              <w:spacing w:line="240" w:lineRule="auto" w:before="0" w:after="0"/>
              <w:ind w:left="283" w:right="0" w:hanging="170"/>
              <w:jc w:val="left"/>
              <w:rPr>
                <w:b/>
                <w:sz w:val="18"/>
              </w:rPr>
            </w:pPr>
            <w:r>
              <w:rPr>
                <w:b/>
                <w:color w:val="231F20"/>
                <w:spacing w:val="-3"/>
                <w:sz w:val="18"/>
              </w:rPr>
              <w:t>Target </w:t>
            </w:r>
            <w:r>
              <w:rPr>
                <w:b/>
                <w:color w:val="231F20"/>
                <w:sz w:val="18"/>
              </w:rPr>
              <w:t>% increase</w:t>
            </w:r>
            <w:r>
              <w:rPr>
                <w:b/>
                <w:color w:val="231F20"/>
                <w:spacing w:val="-1"/>
                <w:sz w:val="18"/>
              </w:rPr>
              <w:t> </w:t>
            </w:r>
            <w:r>
              <w:rPr>
                <w:b/>
                <w:color w:val="231F20"/>
                <w:sz w:val="18"/>
              </w:rPr>
              <w:t>identified</w:t>
            </w:r>
          </w:p>
          <w:p>
            <w:pPr>
              <w:pStyle w:val="TableParagraph"/>
              <w:numPr>
                <w:ilvl w:val="0"/>
                <w:numId w:val="10"/>
              </w:numPr>
              <w:tabs>
                <w:tab w:pos="284" w:val="left" w:leader="none"/>
              </w:tabs>
              <w:spacing w:line="203" w:lineRule="exact" w:before="50" w:after="0"/>
              <w:ind w:left="283" w:right="0" w:hanging="170"/>
              <w:jc w:val="left"/>
              <w:rPr>
                <w:sz w:val="18"/>
              </w:rPr>
            </w:pPr>
            <w:r>
              <w:rPr>
                <w:b/>
                <w:color w:val="231F20"/>
                <w:sz w:val="18"/>
              </w:rPr>
              <w:t>Program set </w:t>
            </w:r>
            <w:r>
              <w:rPr>
                <w:color w:val="231F20"/>
                <w:sz w:val="18"/>
              </w:rPr>
              <w:t>for the provision of increased canopy</w:t>
            </w:r>
            <w:r>
              <w:rPr>
                <w:color w:val="231F20"/>
                <w:spacing w:val="-25"/>
                <w:sz w:val="18"/>
              </w:rPr>
              <w:t> </w:t>
            </w:r>
            <w:r>
              <w:rPr>
                <w:color w:val="231F20"/>
                <w:sz w:val="18"/>
              </w:rPr>
              <w:t>cover</w:t>
            </w:r>
          </w:p>
          <w:p>
            <w:pPr>
              <w:pStyle w:val="TableParagraph"/>
              <w:spacing w:line="203" w:lineRule="exact"/>
              <w:ind w:left="283"/>
              <w:rPr>
                <w:sz w:val="18"/>
              </w:rPr>
            </w:pPr>
            <w:r>
              <w:rPr>
                <w:color w:val="231F20"/>
                <w:sz w:val="18"/>
              </w:rPr>
              <w:t>defined and Council Endorsement gained</w:t>
            </w:r>
          </w:p>
        </w:tc>
        <w:tc>
          <w:tcPr>
            <w:tcW w:w="850" w:type="dxa"/>
          </w:tcPr>
          <w:p>
            <w:pPr>
              <w:pStyle w:val="TableParagraph"/>
              <w:spacing w:before="7"/>
              <w:rPr>
                <w:sz w:val="32"/>
              </w:rPr>
            </w:pPr>
          </w:p>
          <w:p>
            <w:pPr>
              <w:pStyle w:val="TableParagraph"/>
              <w:spacing w:before="1"/>
              <w:ind w:left="5"/>
              <w:jc w:val="center"/>
              <w:rPr>
                <w:rFonts w:ascii="Arial"/>
                <w:sz w:val="24"/>
              </w:rPr>
            </w:pPr>
            <w:r>
              <w:rPr>
                <w:rFonts w:ascii="Arial"/>
                <w:color w:val="1BB78D"/>
                <w:w w:val="336"/>
                <w:sz w:val="24"/>
              </w:rPr>
              <w:t>l</w:t>
            </w:r>
          </w:p>
        </w:tc>
      </w:tr>
      <w:tr>
        <w:trPr>
          <w:trHeight w:val="335" w:hRule="atLeast"/>
        </w:trPr>
        <w:tc>
          <w:tcPr>
            <w:tcW w:w="567" w:type="dxa"/>
          </w:tcPr>
          <w:p>
            <w:pPr>
              <w:pStyle w:val="TableParagraph"/>
              <w:spacing w:before="54"/>
              <w:ind w:left="98" w:right="94"/>
              <w:jc w:val="center"/>
              <w:rPr>
                <w:b/>
                <w:sz w:val="18"/>
              </w:rPr>
            </w:pPr>
            <w:r>
              <w:rPr>
                <w:b/>
                <w:color w:val="231F20"/>
                <w:sz w:val="18"/>
              </w:rPr>
              <w:t>1.3</w:t>
            </w:r>
          </w:p>
        </w:tc>
        <w:tc>
          <w:tcPr>
            <w:tcW w:w="850" w:type="dxa"/>
          </w:tcPr>
          <w:p>
            <w:pPr>
              <w:pStyle w:val="TableParagraph"/>
              <w:spacing w:before="54"/>
              <w:ind w:left="114" w:right="107"/>
              <w:jc w:val="center"/>
              <w:rPr>
                <w:b/>
                <w:sz w:val="18"/>
              </w:rPr>
            </w:pPr>
            <w:r>
              <w:rPr>
                <w:b/>
                <w:color w:val="231F20"/>
                <w:sz w:val="18"/>
              </w:rPr>
              <w:t>LP</w:t>
            </w:r>
          </w:p>
        </w:tc>
        <w:tc>
          <w:tcPr>
            <w:tcW w:w="3966" w:type="dxa"/>
          </w:tcPr>
          <w:p>
            <w:pPr>
              <w:pStyle w:val="TableParagraph"/>
              <w:spacing w:before="54"/>
              <w:ind w:left="113"/>
              <w:rPr>
                <w:b/>
                <w:sz w:val="18"/>
              </w:rPr>
            </w:pPr>
            <w:r>
              <w:rPr>
                <w:b/>
                <w:color w:val="231F20"/>
                <w:sz w:val="18"/>
              </w:rPr>
              <w:t>Determine significance of all urban forest trees</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03" w:lineRule="exact" w:before="78"/>
              <w:ind w:left="113"/>
              <w:rPr>
                <w:sz w:val="18"/>
              </w:rPr>
            </w:pPr>
            <w:r>
              <w:rPr>
                <w:color w:val="231F20"/>
                <w:sz w:val="18"/>
              </w:rPr>
              <w:t>Determine purpose/objectives of significance classification</w:t>
            </w:r>
          </w:p>
          <w:p>
            <w:pPr>
              <w:pStyle w:val="TableParagraph"/>
              <w:spacing w:line="203" w:lineRule="exact"/>
              <w:ind w:left="113"/>
              <w:rPr>
                <w:sz w:val="18"/>
              </w:rPr>
            </w:pPr>
            <w:r>
              <w:rPr>
                <w:color w:val="231F20"/>
                <w:sz w:val="18"/>
              </w:rPr>
              <w:t>including additional management / constraints</w:t>
            </w:r>
          </w:p>
        </w:tc>
        <w:tc>
          <w:tcPr>
            <w:tcW w:w="4252" w:type="dxa"/>
          </w:tcPr>
          <w:p>
            <w:pPr>
              <w:pStyle w:val="TableParagraph"/>
              <w:spacing w:before="1"/>
              <w:rPr>
                <w:sz w:val="17"/>
              </w:rPr>
            </w:pPr>
          </w:p>
          <w:p>
            <w:pPr>
              <w:pStyle w:val="TableParagraph"/>
              <w:numPr>
                <w:ilvl w:val="0"/>
                <w:numId w:val="11"/>
              </w:numPr>
              <w:tabs>
                <w:tab w:pos="284" w:val="left" w:leader="none"/>
              </w:tabs>
              <w:spacing w:line="240" w:lineRule="auto" w:before="0" w:after="0"/>
              <w:ind w:left="283" w:right="0" w:hanging="170"/>
              <w:jc w:val="left"/>
              <w:rPr>
                <w:b/>
                <w:sz w:val="18"/>
              </w:rPr>
            </w:pPr>
            <w:r>
              <w:rPr>
                <w:b/>
                <w:color w:val="231F20"/>
                <w:sz w:val="18"/>
              </w:rPr>
              <w:t>Significance classification objectives</w:t>
            </w:r>
            <w:r>
              <w:rPr>
                <w:b/>
                <w:color w:val="231F20"/>
                <w:spacing w:val="-3"/>
                <w:sz w:val="18"/>
              </w:rPr>
              <w:t> </w:t>
            </w:r>
            <w:r>
              <w:rPr>
                <w:b/>
                <w:color w:val="231F20"/>
                <w:sz w:val="18"/>
              </w:rPr>
              <w:t>defined</w:t>
            </w:r>
          </w:p>
        </w:tc>
        <w:tc>
          <w:tcPr>
            <w:tcW w:w="850" w:type="dxa"/>
          </w:tcPr>
          <w:p>
            <w:pPr>
              <w:pStyle w:val="TableParagraph"/>
              <w:spacing w:before="148"/>
              <w:ind w:left="5"/>
              <w:jc w:val="center"/>
              <w:rPr>
                <w:rFonts w:ascii="Arial"/>
                <w:sz w:val="24"/>
              </w:rPr>
            </w:pPr>
            <w:r>
              <w:rPr>
                <w:rFonts w:ascii="Arial"/>
                <w:color w:val="1BB78D"/>
                <w:w w:val="336"/>
                <w:sz w:val="24"/>
              </w:rPr>
              <w:t>l</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83"/>
              <w:ind w:left="113" w:right="226"/>
              <w:rPr>
                <w:sz w:val="18"/>
              </w:rPr>
            </w:pPr>
            <w:r>
              <w:rPr>
                <w:color w:val="231F20"/>
                <w:sz w:val="18"/>
              </w:rPr>
              <w:t>Determine categories and criteria (on heritage, amenity and arboriculture values)</w:t>
            </w:r>
          </w:p>
        </w:tc>
        <w:tc>
          <w:tcPr>
            <w:tcW w:w="4252" w:type="dxa"/>
          </w:tcPr>
          <w:p>
            <w:pPr>
              <w:pStyle w:val="TableParagraph"/>
              <w:spacing w:before="1"/>
              <w:rPr>
                <w:sz w:val="17"/>
              </w:rPr>
            </w:pPr>
          </w:p>
          <w:p>
            <w:pPr>
              <w:pStyle w:val="TableParagraph"/>
              <w:numPr>
                <w:ilvl w:val="0"/>
                <w:numId w:val="12"/>
              </w:numPr>
              <w:tabs>
                <w:tab w:pos="284" w:val="left" w:leader="none"/>
              </w:tabs>
              <w:spacing w:line="240" w:lineRule="auto" w:before="0" w:after="0"/>
              <w:ind w:left="283" w:right="0" w:hanging="170"/>
              <w:jc w:val="left"/>
              <w:rPr>
                <w:b/>
                <w:sz w:val="18"/>
              </w:rPr>
            </w:pPr>
            <w:r>
              <w:rPr>
                <w:b/>
                <w:color w:val="231F20"/>
                <w:sz w:val="18"/>
              </w:rPr>
              <w:t>Categories and criteria</w:t>
            </w:r>
            <w:r>
              <w:rPr>
                <w:b/>
                <w:color w:val="231F20"/>
                <w:spacing w:val="-3"/>
                <w:sz w:val="18"/>
              </w:rPr>
              <w:t> </w:t>
            </w:r>
            <w:r>
              <w:rPr>
                <w:b/>
                <w:color w:val="231F20"/>
                <w:sz w:val="18"/>
              </w:rPr>
              <w:t>defined</w:t>
            </w:r>
          </w:p>
        </w:tc>
        <w:tc>
          <w:tcPr>
            <w:tcW w:w="850" w:type="dxa"/>
          </w:tcPr>
          <w:p>
            <w:pPr>
              <w:pStyle w:val="TableParagraph"/>
              <w:spacing w:before="148"/>
              <w:ind w:left="5"/>
              <w:jc w:val="center"/>
              <w:rPr>
                <w:rFonts w:ascii="Arial"/>
                <w:sz w:val="24"/>
              </w:rPr>
            </w:pPr>
            <w:r>
              <w:rPr>
                <w:rFonts w:ascii="Arial"/>
                <w:color w:val="1BB78D"/>
                <w:w w:val="336"/>
                <w:sz w:val="24"/>
              </w:rPr>
              <w:t>l</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03" w:lineRule="exact" w:before="78"/>
              <w:ind w:left="113"/>
              <w:rPr>
                <w:sz w:val="18"/>
              </w:rPr>
            </w:pPr>
            <w:r>
              <w:rPr>
                <w:color w:val="231F20"/>
                <w:sz w:val="18"/>
              </w:rPr>
              <w:t>Categorise all urban forest trees to identify significance</w:t>
            </w:r>
          </w:p>
          <w:p>
            <w:pPr>
              <w:pStyle w:val="TableParagraph"/>
              <w:spacing w:line="203" w:lineRule="exact"/>
              <w:ind w:left="113"/>
              <w:rPr>
                <w:sz w:val="18"/>
              </w:rPr>
            </w:pPr>
            <w:r>
              <w:rPr>
                <w:color w:val="231F20"/>
                <w:sz w:val="18"/>
              </w:rPr>
              <w:t>ranking</w:t>
            </w:r>
          </w:p>
        </w:tc>
        <w:tc>
          <w:tcPr>
            <w:tcW w:w="4252" w:type="dxa"/>
          </w:tcPr>
          <w:p>
            <w:pPr>
              <w:pStyle w:val="TableParagraph"/>
              <w:spacing w:before="1"/>
              <w:rPr>
                <w:sz w:val="17"/>
              </w:rPr>
            </w:pPr>
          </w:p>
          <w:p>
            <w:pPr>
              <w:pStyle w:val="TableParagraph"/>
              <w:numPr>
                <w:ilvl w:val="0"/>
                <w:numId w:val="13"/>
              </w:numPr>
              <w:tabs>
                <w:tab w:pos="284" w:val="left" w:leader="none"/>
              </w:tabs>
              <w:spacing w:line="240" w:lineRule="auto" w:before="0" w:after="0"/>
              <w:ind w:left="283" w:right="0" w:hanging="170"/>
              <w:jc w:val="left"/>
              <w:rPr>
                <w:b/>
                <w:sz w:val="18"/>
              </w:rPr>
            </w:pPr>
            <w:r>
              <w:rPr>
                <w:b/>
                <w:color w:val="231F20"/>
                <w:sz w:val="18"/>
              </w:rPr>
              <w:t>Urban Forest</w:t>
            </w:r>
            <w:r>
              <w:rPr>
                <w:b/>
                <w:color w:val="231F20"/>
                <w:spacing w:val="-1"/>
                <w:sz w:val="18"/>
              </w:rPr>
              <w:t> </w:t>
            </w:r>
            <w:r>
              <w:rPr>
                <w:b/>
                <w:color w:val="231F20"/>
                <w:sz w:val="18"/>
              </w:rPr>
              <w:t>categorised</w:t>
            </w:r>
          </w:p>
        </w:tc>
        <w:tc>
          <w:tcPr>
            <w:tcW w:w="850" w:type="dxa"/>
          </w:tcPr>
          <w:p>
            <w:pPr>
              <w:pStyle w:val="TableParagraph"/>
              <w:spacing w:before="148"/>
              <w:ind w:left="5"/>
              <w:jc w:val="center"/>
              <w:rPr>
                <w:rFonts w:ascii="Arial"/>
                <w:sz w:val="24"/>
              </w:rPr>
            </w:pPr>
            <w:r>
              <w:rPr>
                <w:rFonts w:ascii="Arial"/>
                <w:color w:val="FDB933"/>
                <w:w w:val="268"/>
                <w:sz w:val="24"/>
              </w:rPr>
              <w:t>t</w:t>
            </w:r>
          </w:p>
        </w:tc>
      </w:tr>
    </w:tbl>
    <w:p>
      <w:pPr>
        <w:spacing w:after="0"/>
        <w:jc w:val="center"/>
        <w:rPr>
          <w:rFonts w:ascii="Arial"/>
          <w:sz w:val="24"/>
        </w:rPr>
        <w:sectPr>
          <w:pgSz w:w="11910" w:h="16840"/>
          <w:pgMar w:header="0" w:footer="779" w:top="540" w:bottom="960" w:left="460" w:right="440"/>
        </w:sectPr>
      </w:pPr>
    </w:p>
    <w:p>
      <w:pPr>
        <w:pStyle w:val="BodyText"/>
        <w:ind w:left="387"/>
        <w:rPr>
          <w:sz w:val="20"/>
        </w:rPr>
      </w:pPr>
      <w:r>
        <w:rPr>
          <w:sz w:val="20"/>
        </w:rPr>
        <w:pict>
          <v:group style="width:524.450pt;height:77.25pt;mso-position-horizontal-relative:char;mso-position-vertical-relative:line" coordorigin="0,0" coordsize="10489,1545">
            <v:line style="position:absolute" from="10488,1491" to="0,1491" stroked="true" strokeweight=".25pt" strokecolor="#808285">
              <v:stroke dashstyle="solid"/>
            </v:line>
            <v:line style="position:absolute" from="7092,0" to="7092,1501" stroked="true" strokeweight=".25pt" strokecolor="#808285">
              <v:stroke dashstyle="solid"/>
            </v:line>
            <v:shape style="position:absolute;left:7379;top:442;width:3016;height:1102" type="#_x0000_t202" filled="false" stroked="false">
              <v:textbox inset="0,0,0,0">
                <w:txbxContent>
                  <w:p>
                    <w:pPr>
                      <w:spacing w:line="1100" w:lineRule="exact" w:before="0"/>
                      <w:ind w:left="0" w:right="0" w:firstLine="0"/>
                      <w:jc w:val="left"/>
                      <w:rPr>
                        <w:b/>
                        <w:sz w:val="96"/>
                      </w:rPr>
                    </w:pPr>
                    <w:r>
                      <w:rPr>
                        <w:b/>
                        <w:i/>
                        <w:color w:val="231F20"/>
                        <w:sz w:val="24"/>
                      </w:rPr>
                      <w:t>Urban Forest Strategy </w:t>
                    </w:r>
                    <w:r>
                      <w:rPr>
                        <w:b/>
                        <w:color w:val="808285"/>
                        <w:sz w:val="96"/>
                      </w:rPr>
                      <w:t>4</w:t>
                    </w:r>
                  </w:p>
                </w:txbxContent>
              </v:textbox>
              <w10:wrap type="none"/>
            </v:shape>
            <v:shape style="position:absolute;left:7760;top:816;width:1907;height:276" type="#_x0000_t202" filled="false" stroked="false">
              <v:textbox inset="0,0,0,0">
                <w:txbxContent>
                  <w:p>
                    <w:pPr>
                      <w:spacing w:line="275" w:lineRule="exact" w:before="0"/>
                      <w:ind w:left="0" w:right="0" w:firstLine="0"/>
                      <w:jc w:val="left"/>
                      <w:rPr>
                        <w:i/>
                        <w:sz w:val="24"/>
                      </w:rPr>
                    </w:pPr>
                    <w:r>
                      <w:rPr>
                        <w:i/>
                        <w:color w:val="231F20"/>
                        <w:sz w:val="24"/>
                      </w:rPr>
                      <w:t>Marrickville Council</w:t>
                    </w:r>
                  </w:p>
                </w:txbxContent>
              </v:textbox>
              <w10:wrap type="none"/>
            </v:shape>
          </v:group>
        </w:pict>
      </w:r>
      <w:r>
        <w:rPr>
          <w:sz w:val="20"/>
        </w:rPr>
      </w:r>
    </w:p>
    <w:p>
      <w:pPr>
        <w:pStyle w:val="BodyText"/>
        <w:spacing w:before="8"/>
        <w:rPr>
          <w:sz w:val="29"/>
        </w:rPr>
      </w:pPr>
    </w:p>
    <w:tbl>
      <w:tblPr>
        <w:tblW w:w="0" w:type="auto"/>
        <w:jc w:val="left"/>
        <w:tblInd w:w="3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850"/>
        <w:gridCol w:w="3966"/>
        <w:gridCol w:w="4252"/>
        <w:gridCol w:w="850"/>
      </w:tblGrid>
      <w:tr>
        <w:trPr>
          <w:trHeight w:val="448" w:hRule="atLeast"/>
        </w:trPr>
        <w:tc>
          <w:tcPr>
            <w:tcW w:w="567" w:type="dxa"/>
          </w:tcPr>
          <w:p>
            <w:pPr>
              <w:pStyle w:val="TableParagraph"/>
              <w:spacing w:before="140"/>
              <w:ind w:left="164"/>
              <w:rPr>
                <w:b/>
                <w:sz w:val="18"/>
              </w:rPr>
            </w:pPr>
            <w:r>
              <w:rPr>
                <w:b/>
                <w:color w:val="231F20"/>
                <w:sz w:val="18"/>
              </w:rPr>
              <w:t>No.</w:t>
            </w:r>
          </w:p>
        </w:tc>
        <w:tc>
          <w:tcPr>
            <w:tcW w:w="850" w:type="dxa"/>
          </w:tcPr>
          <w:p>
            <w:pPr>
              <w:pStyle w:val="TableParagraph"/>
              <w:spacing w:before="140"/>
              <w:ind w:left="113" w:right="108"/>
              <w:jc w:val="center"/>
              <w:rPr>
                <w:b/>
                <w:sz w:val="18"/>
              </w:rPr>
            </w:pPr>
            <w:r>
              <w:rPr>
                <w:b/>
                <w:color w:val="231F20"/>
                <w:sz w:val="18"/>
              </w:rPr>
              <w:t>Priority</w:t>
            </w:r>
          </w:p>
        </w:tc>
        <w:tc>
          <w:tcPr>
            <w:tcW w:w="3966" w:type="dxa"/>
          </w:tcPr>
          <w:p>
            <w:pPr>
              <w:pStyle w:val="TableParagraph"/>
              <w:spacing w:before="140"/>
              <w:ind w:left="1692" w:right="1687"/>
              <w:jc w:val="center"/>
              <w:rPr>
                <w:b/>
                <w:sz w:val="18"/>
              </w:rPr>
            </w:pPr>
            <w:r>
              <w:rPr>
                <w:b/>
                <w:color w:val="231F20"/>
                <w:sz w:val="18"/>
              </w:rPr>
              <w:t>Actions</w:t>
            </w:r>
          </w:p>
        </w:tc>
        <w:tc>
          <w:tcPr>
            <w:tcW w:w="4252" w:type="dxa"/>
          </w:tcPr>
          <w:p>
            <w:pPr>
              <w:pStyle w:val="TableParagraph"/>
              <w:spacing w:before="140"/>
              <w:ind w:left="1786" w:right="1781"/>
              <w:jc w:val="center"/>
              <w:rPr>
                <w:b/>
                <w:sz w:val="18"/>
              </w:rPr>
            </w:pPr>
            <w:r>
              <w:rPr>
                <w:b/>
                <w:color w:val="231F20"/>
                <w:sz w:val="18"/>
              </w:rPr>
              <w:t>Outcome</w:t>
            </w:r>
          </w:p>
        </w:tc>
        <w:tc>
          <w:tcPr>
            <w:tcW w:w="850" w:type="dxa"/>
          </w:tcPr>
          <w:p>
            <w:pPr>
              <w:pStyle w:val="TableParagraph"/>
              <w:spacing w:before="140"/>
              <w:ind w:left="114" w:right="108"/>
              <w:jc w:val="center"/>
              <w:rPr>
                <w:b/>
                <w:sz w:val="18"/>
              </w:rPr>
            </w:pPr>
            <w:r>
              <w:rPr>
                <w:b/>
                <w:color w:val="231F20"/>
                <w:sz w:val="18"/>
              </w:rPr>
              <w:t>Funding</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HP</w:t>
            </w:r>
          </w:p>
        </w:tc>
        <w:tc>
          <w:tcPr>
            <w:tcW w:w="3966" w:type="dxa"/>
          </w:tcPr>
          <w:p>
            <w:pPr>
              <w:pStyle w:val="TableParagraph"/>
              <w:spacing w:line="183" w:lineRule="exact" w:before="19"/>
              <w:ind w:left="113"/>
              <w:rPr>
                <w:sz w:val="16"/>
              </w:rPr>
            </w:pPr>
            <w:r>
              <w:rPr>
                <w:color w:val="231F20"/>
                <w:sz w:val="16"/>
              </w:rPr>
              <w:t>High Priority</w:t>
            </w:r>
          </w:p>
        </w:tc>
        <w:tc>
          <w:tcPr>
            <w:tcW w:w="4252" w:type="dxa"/>
          </w:tcPr>
          <w:p>
            <w:pPr>
              <w:pStyle w:val="TableParagraph"/>
              <w:spacing w:line="183" w:lineRule="exact" w:before="19"/>
              <w:ind w:left="1032"/>
              <w:rPr>
                <w:sz w:val="16"/>
              </w:rPr>
            </w:pPr>
            <w:r>
              <w:rPr>
                <w:color w:val="231F20"/>
                <w:sz w:val="16"/>
              </w:rPr>
              <w:t>Require substantial additional funding</w:t>
            </w:r>
          </w:p>
        </w:tc>
        <w:tc>
          <w:tcPr>
            <w:tcW w:w="850" w:type="dxa"/>
          </w:tcPr>
          <w:p>
            <w:pPr>
              <w:pStyle w:val="TableParagraph"/>
              <w:spacing w:line="202" w:lineRule="exact"/>
              <w:ind w:left="5"/>
              <w:jc w:val="center"/>
              <w:rPr>
                <w:rFonts w:ascii="Arial" w:hAnsi="Arial"/>
                <w:b/>
                <w:sz w:val="24"/>
              </w:rPr>
            </w:pPr>
            <w:r>
              <w:rPr>
                <w:rFonts w:ascii="Arial" w:hAnsi="Arial"/>
                <w:b/>
                <w:color w:val="D34D49"/>
                <w:sz w:val="24"/>
              </w:rPr>
              <w:t>■</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MP</w:t>
            </w:r>
          </w:p>
        </w:tc>
        <w:tc>
          <w:tcPr>
            <w:tcW w:w="3966" w:type="dxa"/>
          </w:tcPr>
          <w:p>
            <w:pPr>
              <w:pStyle w:val="TableParagraph"/>
              <w:spacing w:line="183" w:lineRule="exact" w:before="19"/>
              <w:ind w:left="113"/>
              <w:rPr>
                <w:sz w:val="16"/>
              </w:rPr>
            </w:pPr>
            <w:r>
              <w:rPr>
                <w:color w:val="231F20"/>
                <w:sz w:val="16"/>
              </w:rPr>
              <w:t>Medium Priority</w:t>
            </w:r>
          </w:p>
        </w:tc>
        <w:tc>
          <w:tcPr>
            <w:tcW w:w="4252" w:type="dxa"/>
          </w:tcPr>
          <w:p>
            <w:pPr>
              <w:pStyle w:val="TableParagraph"/>
              <w:spacing w:line="183" w:lineRule="exact" w:before="19"/>
              <w:ind w:left="1163"/>
              <w:rPr>
                <w:sz w:val="16"/>
              </w:rPr>
            </w:pPr>
            <w:r>
              <w:rPr>
                <w:color w:val="231F20"/>
                <w:sz w:val="16"/>
              </w:rPr>
              <w:t>Some additional funding required</w:t>
            </w:r>
          </w:p>
        </w:tc>
        <w:tc>
          <w:tcPr>
            <w:tcW w:w="850" w:type="dxa"/>
          </w:tcPr>
          <w:p>
            <w:pPr>
              <w:pStyle w:val="TableParagraph"/>
              <w:spacing w:line="202" w:lineRule="exact"/>
              <w:ind w:left="5"/>
              <w:jc w:val="center"/>
              <w:rPr>
                <w:rFonts w:ascii="Arial"/>
                <w:sz w:val="24"/>
              </w:rPr>
            </w:pPr>
            <w:r>
              <w:rPr>
                <w:rFonts w:ascii="Arial"/>
                <w:color w:val="FDB933"/>
                <w:w w:val="268"/>
                <w:sz w:val="24"/>
              </w:rPr>
              <w:t>t</w:t>
            </w:r>
          </w:p>
        </w:tc>
      </w:tr>
      <w:tr>
        <w:trPr>
          <w:trHeight w:val="214" w:hRule="atLeast"/>
        </w:trPr>
        <w:tc>
          <w:tcPr>
            <w:tcW w:w="567" w:type="dxa"/>
            <w:tcBorders>
              <w:bottom w:val="single" w:sz="8" w:space="0" w:color="231F20"/>
            </w:tcBorders>
          </w:tcPr>
          <w:p>
            <w:pPr>
              <w:pStyle w:val="TableParagraph"/>
              <w:rPr>
                <w:rFonts w:ascii="Times New Roman"/>
                <w:sz w:val="14"/>
              </w:rPr>
            </w:pPr>
          </w:p>
        </w:tc>
        <w:tc>
          <w:tcPr>
            <w:tcW w:w="850" w:type="dxa"/>
            <w:tcBorders>
              <w:bottom w:val="single" w:sz="8" w:space="0" w:color="231F20"/>
            </w:tcBorders>
          </w:tcPr>
          <w:p>
            <w:pPr>
              <w:pStyle w:val="TableParagraph"/>
              <w:spacing w:line="172" w:lineRule="exact" w:before="22"/>
              <w:ind w:left="114" w:right="107"/>
              <w:jc w:val="center"/>
              <w:rPr>
                <w:b/>
                <w:sz w:val="18"/>
              </w:rPr>
            </w:pPr>
            <w:r>
              <w:rPr>
                <w:b/>
                <w:color w:val="231F20"/>
                <w:sz w:val="18"/>
              </w:rPr>
              <w:t>LP</w:t>
            </w:r>
          </w:p>
        </w:tc>
        <w:tc>
          <w:tcPr>
            <w:tcW w:w="3966" w:type="dxa"/>
            <w:tcBorders>
              <w:bottom w:val="single" w:sz="8" w:space="0" w:color="231F20"/>
            </w:tcBorders>
          </w:tcPr>
          <w:p>
            <w:pPr>
              <w:pStyle w:val="TableParagraph"/>
              <w:spacing w:line="179" w:lineRule="exact" w:before="15"/>
              <w:ind w:left="113"/>
              <w:rPr>
                <w:sz w:val="16"/>
              </w:rPr>
            </w:pPr>
            <w:r>
              <w:rPr>
                <w:color w:val="231F20"/>
                <w:sz w:val="16"/>
              </w:rPr>
              <w:t>Low Priority</w:t>
            </w:r>
          </w:p>
        </w:tc>
        <w:tc>
          <w:tcPr>
            <w:tcW w:w="4252" w:type="dxa"/>
            <w:tcBorders>
              <w:bottom w:val="single" w:sz="8" w:space="0" w:color="231F20"/>
            </w:tcBorders>
          </w:tcPr>
          <w:p>
            <w:pPr>
              <w:pStyle w:val="TableParagraph"/>
              <w:spacing w:line="179" w:lineRule="exact" w:before="15"/>
              <w:ind w:left="313"/>
              <w:rPr>
                <w:sz w:val="16"/>
              </w:rPr>
            </w:pPr>
            <w:r>
              <w:rPr>
                <w:color w:val="231F20"/>
                <w:sz w:val="16"/>
              </w:rPr>
              <w:t>Little / no additional funding required — use existing resources</w:t>
            </w:r>
          </w:p>
        </w:tc>
        <w:tc>
          <w:tcPr>
            <w:tcW w:w="850" w:type="dxa"/>
            <w:tcBorders>
              <w:bottom w:val="single" w:sz="8" w:space="0" w:color="231F20"/>
            </w:tcBorders>
          </w:tcPr>
          <w:p>
            <w:pPr>
              <w:pStyle w:val="TableParagraph"/>
              <w:spacing w:line="194" w:lineRule="exact"/>
              <w:ind w:left="5"/>
              <w:jc w:val="center"/>
              <w:rPr>
                <w:rFonts w:ascii="Arial"/>
                <w:sz w:val="24"/>
              </w:rPr>
            </w:pPr>
            <w:r>
              <w:rPr>
                <w:rFonts w:ascii="Arial"/>
                <w:color w:val="1BB78D"/>
                <w:w w:val="336"/>
                <w:sz w:val="24"/>
              </w:rPr>
              <w:t>l</w:t>
            </w:r>
          </w:p>
        </w:tc>
      </w:tr>
      <w:tr>
        <w:trPr>
          <w:trHeight w:val="335" w:hRule="atLeast"/>
        </w:trPr>
        <w:tc>
          <w:tcPr>
            <w:tcW w:w="567" w:type="dxa"/>
            <w:tcBorders>
              <w:top w:val="single" w:sz="8" w:space="0" w:color="231F20"/>
            </w:tcBorders>
          </w:tcPr>
          <w:p>
            <w:pPr>
              <w:pStyle w:val="TableParagraph"/>
              <w:spacing w:before="83"/>
              <w:ind w:left="180"/>
              <w:rPr>
                <w:b/>
                <w:sz w:val="18"/>
              </w:rPr>
            </w:pPr>
            <w:r>
              <w:rPr>
                <w:b/>
                <w:color w:val="231F20"/>
                <w:sz w:val="18"/>
              </w:rPr>
              <w:t>1.4</w:t>
            </w:r>
          </w:p>
        </w:tc>
        <w:tc>
          <w:tcPr>
            <w:tcW w:w="850" w:type="dxa"/>
            <w:tcBorders>
              <w:top w:val="single" w:sz="8" w:space="0" w:color="231F20"/>
            </w:tcBorders>
          </w:tcPr>
          <w:p>
            <w:pPr>
              <w:pStyle w:val="TableParagraph"/>
              <w:spacing w:before="83"/>
              <w:ind w:left="114" w:right="107"/>
              <w:jc w:val="center"/>
              <w:rPr>
                <w:b/>
                <w:sz w:val="18"/>
              </w:rPr>
            </w:pPr>
            <w:r>
              <w:rPr>
                <w:b/>
                <w:color w:val="231F20"/>
                <w:sz w:val="18"/>
              </w:rPr>
              <w:t>MP</w:t>
            </w:r>
          </w:p>
        </w:tc>
        <w:tc>
          <w:tcPr>
            <w:tcW w:w="3966" w:type="dxa"/>
            <w:tcBorders>
              <w:top w:val="single" w:sz="8" w:space="0" w:color="231F20"/>
            </w:tcBorders>
          </w:tcPr>
          <w:p>
            <w:pPr>
              <w:pStyle w:val="TableParagraph"/>
              <w:spacing w:before="83"/>
              <w:ind w:left="108"/>
              <w:rPr>
                <w:b/>
                <w:sz w:val="18"/>
              </w:rPr>
            </w:pPr>
            <w:r>
              <w:rPr>
                <w:b/>
                <w:color w:val="231F20"/>
                <w:sz w:val="18"/>
              </w:rPr>
              <w:t>On-going review of Urban Forest % canopy cover</w:t>
            </w:r>
          </w:p>
        </w:tc>
        <w:tc>
          <w:tcPr>
            <w:tcW w:w="4252" w:type="dxa"/>
            <w:tcBorders>
              <w:top w:val="single" w:sz="8" w:space="0" w:color="231F20"/>
            </w:tcBorders>
          </w:tcPr>
          <w:p>
            <w:pPr>
              <w:pStyle w:val="TableParagraph"/>
              <w:rPr>
                <w:rFonts w:ascii="Times New Roman"/>
                <w:sz w:val="18"/>
              </w:rPr>
            </w:pPr>
          </w:p>
        </w:tc>
        <w:tc>
          <w:tcPr>
            <w:tcW w:w="850" w:type="dxa"/>
            <w:tcBorders>
              <w:top w:val="single" w:sz="8" w:space="0" w:color="231F20"/>
            </w:tcBorders>
          </w:tcPr>
          <w:p>
            <w:pPr>
              <w:pStyle w:val="TableParagraph"/>
              <w:rPr>
                <w:rFonts w:ascii="Times New Roman"/>
                <w:sz w:val="18"/>
              </w:rPr>
            </w:pPr>
          </w:p>
        </w:tc>
      </w:tr>
      <w:tr>
        <w:trPr>
          <w:trHeight w:val="67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39"/>
              <w:ind w:left="108" w:right="361"/>
              <w:rPr>
                <w:sz w:val="18"/>
              </w:rPr>
            </w:pPr>
            <w:r>
              <w:rPr>
                <w:color w:val="231F20"/>
                <w:sz w:val="18"/>
              </w:rPr>
              <w:t>Council tree asset condition data collected on agreed frequency 5 years cycle to achieve AMP</w:t>
            </w:r>
          </w:p>
        </w:tc>
        <w:tc>
          <w:tcPr>
            <w:tcW w:w="4252" w:type="dxa"/>
          </w:tcPr>
          <w:p>
            <w:pPr>
              <w:pStyle w:val="TableParagraph"/>
              <w:spacing w:line="203" w:lineRule="exact" w:before="134"/>
              <w:ind w:left="108"/>
              <w:rPr>
                <w:sz w:val="18"/>
              </w:rPr>
            </w:pPr>
            <w:r>
              <w:rPr>
                <w:color w:val="231F20"/>
                <w:sz w:val="18"/>
              </w:rPr>
              <w:t>Tree asset data assessed on 5 yr basis</w:t>
            </w:r>
          </w:p>
          <w:p>
            <w:pPr>
              <w:pStyle w:val="TableParagraph"/>
              <w:spacing w:line="203" w:lineRule="exact"/>
              <w:ind w:left="108"/>
              <w:rPr>
                <w:sz w:val="18"/>
              </w:rPr>
            </w:pPr>
            <w:r>
              <w:rPr>
                <w:color w:val="231F20"/>
                <w:sz w:val="18"/>
              </w:rPr>
              <w:t>— AMP requirements achieved</w:t>
            </w:r>
          </w:p>
        </w:tc>
        <w:tc>
          <w:tcPr>
            <w:tcW w:w="850" w:type="dxa"/>
          </w:tcPr>
          <w:p>
            <w:pPr>
              <w:pStyle w:val="TableParagraph"/>
              <w:spacing w:before="205"/>
              <w:ind w:left="5"/>
              <w:jc w:val="center"/>
              <w:rPr>
                <w:rFonts w:ascii="Arial"/>
                <w:sz w:val="24"/>
              </w:rPr>
            </w:pPr>
            <w:r>
              <w:rPr>
                <w:rFonts w:ascii="Arial"/>
                <w:color w:val="FDB933"/>
                <w:w w:val="268"/>
                <w:sz w:val="24"/>
              </w:rPr>
              <w:t>t</w:t>
            </w:r>
          </w:p>
        </w:tc>
      </w:tr>
      <w:tr>
        <w:trPr>
          <w:trHeight w:val="788"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96"/>
              <w:ind w:left="108" w:right="263"/>
              <w:rPr>
                <w:sz w:val="18"/>
              </w:rPr>
            </w:pPr>
            <w:r>
              <w:rPr>
                <w:color w:val="231F20"/>
                <w:sz w:val="18"/>
              </w:rPr>
              <w:t>Undertake repeat GIS Mapping — assessment by specialist consultant – compare with previous mapping results</w:t>
            </w:r>
          </w:p>
        </w:tc>
        <w:tc>
          <w:tcPr>
            <w:tcW w:w="4252" w:type="dxa"/>
          </w:tcPr>
          <w:p>
            <w:pPr>
              <w:pStyle w:val="TableParagraph"/>
              <w:rPr>
                <w:sz w:val="27"/>
              </w:rPr>
            </w:pPr>
          </w:p>
          <w:p>
            <w:pPr>
              <w:pStyle w:val="TableParagraph"/>
              <w:ind w:left="108"/>
              <w:rPr>
                <w:b/>
                <w:sz w:val="18"/>
              </w:rPr>
            </w:pPr>
            <w:r>
              <w:rPr>
                <w:color w:val="231F20"/>
                <w:sz w:val="18"/>
              </w:rPr>
              <w:t>Mapping repeated </w:t>
            </w:r>
            <w:r>
              <w:rPr>
                <w:b/>
                <w:color w:val="231F20"/>
                <w:sz w:val="18"/>
              </w:rPr>
              <w:t>trends identified</w:t>
            </w:r>
          </w:p>
        </w:tc>
        <w:tc>
          <w:tcPr>
            <w:tcW w:w="850" w:type="dxa"/>
          </w:tcPr>
          <w:p>
            <w:pPr>
              <w:pStyle w:val="TableParagraph"/>
              <w:spacing w:before="9"/>
              <w:rPr>
                <w:sz w:val="22"/>
              </w:rPr>
            </w:pPr>
          </w:p>
          <w:p>
            <w:pPr>
              <w:pStyle w:val="TableParagraph"/>
              <w:ind w:left="5"/>
              <w:jc w:val="center"/>
              <w:rPr>
                <w:rFonts w:ascii="Arial"/>
                <w:sz w:val="24"/>
              </w:rPr>
            </w:pPr>
            <w:r>
              <w:rPr>
                <w:rFonts w:ascii="Arial"/>
                <w:color w:val="FDB933"/>
                <w:w w:val="268"/>
                <w:sz w:val="24"/>
              </w:rPr>
              <w:t>t</w:t>
            </w:r>
          </w:p>
        </w:tc>
      </w:tr>
      <w:tr>
        <w:trPr>
          <w:trHeight w:val="1469"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97" w:lineRule="auto" w:before="118"/>
              <w:ind w:left="108" w:right="461"/>
              <w:rPr>
                <w:sz w:val="18"/>
              </w:rPr>
            </w:pPr>
            <w:r>
              <w:rPr>
                <w:color w:val="231F20"/>
                <w:sz w:val="18"/>
              </w:rPr>
              <w:t>Monitor LEP/DCP impacts on Urban Forest Canopy Collect data on:</w:t>
            </w:r>
          </w:p>
          <w:p>
            <w:pPr>
              <w:pStyle w:val="TableParagraph"/>
              <w:numPr>
                <w:ilvl w:val="0"/>
                <w:numId w:val="14"/>
              </w:numPr>
              <w:tabs>
                <w:tab w:pos="270" w:val="left" w:leader="none"/>
              </w:tabs>
              <w:spacing w:line="240" w:lineRule="auto" w:before="1" w:after="0"/>
              <w:ind w:left="269" w:right="0" w:hanging="161"/>
              <w:jc w:val="left"/>
              <w:rPr>
                <w:sz w:val="18"/>
              </w:rPr>
            </w:pPr>
            <w:r>
              <w:rPr>
                <w:color w:val="231F20"/>
                <w:sz w:val="18"/>
              </w:rPr>
              <w:t>TPO/Permit applications to prune/remove</w:t>
            </w:r>
            <w:r>
              <w:rPr>
                <w:color w:val="231F20"/>
                <w:spacing w:val="-9"/>
                <w:sz w:val="18"/>
              </w:rPr>
              <w:t> </w:t>
            </w:r>
            <w:r>
              <w:rPr>
                <w:color w:val="231F20"/>
                <w:sz w:val="18"/>
              </w:rPr>
              <w:t>trees</w:t>
            </w:r>
          </w:p>
          <w:p>
            <w:pPr>
              <w:pStyle w:val="TableParagraph"/>
              <w:numPr>
                <w:ilvl w:val="0"/>
                <w:numId w:val="14"/>
              </w:numPr>
              <w:tabs>
                <w:tab w:pos="273" w:val="left" w:leader="none"/>
              </w:tabs>
              <w:spacing w:line="240" w:lineRule="auto" w:before="50" w:after="0"/>
              <w:ind w:left="272" w:right="0" w:hanging="164"/>
              <w:jc w:val="left"/>
              <w:rPr>
                <w:sz w:val="18"/>
              </w:rPr>
            </w:pPr>
            <w:r>
              <w:rPr>
                <w:color w:val="231F20"/>
                <w:sz w:val="18"/>
              </w:rPr>
              <w:t>Development Applications involving tree</w:t>
            </w:r>
            <w:r>
              <w:rPr>
                <w:color w:val="231F20"/>
                <w:spacing w:val="-13"/>
                <w:sz w:val="18"/>
              </w:rPr>
              <w:t> </w:t>
            </w:r>
            <w:r>
              <w:rPr>
                <w:color w:val="231F20"/>
                <w:sz w:val="18"/>
              </w:rPr>
              <w:t>removal</w:t>
            </w:r>
          </w:p>
          <w:p>
            <w:pPr>
              <w:pStyle w:val="TableParagraph"/>
              <w:numPr>
                <w:ilvl w:val="0"/>
                <w:numId w:val="14"/>
              </w:numPr>
              <w:tabs>
                <w:tab w:pos="273" w:val="left" w:leader="none"/>
              </w:tabs>
              <w:spacing w:line="240" w:lineRule="auto" w:before="50" w:after="0"/>
              <w:ind w:left="272" w:right="0" w:hanging="164"/>
              <w:jc w:val="left"/>
              <w:rPr>
                <w:sz w:val="18"/>
              </w:rPr>
            </w:pPr>
            <w:r>
              <w:rPr>
                <w:color w:val="231F20"/>
                <w:sz w:val="18"/>
              </w:rPr>
              <w:t>Compensatory</w:t>
            </w:r>
            <w:r>
              <w:rPr>
                <w:color w:val="231F20"/>
                <w:spacing w:val="-1"/>
                <w:sz w:val="18"/>
              </w:rPr>
              <w:t> </w:t>
            </w:r>
            <w:r>
              <w:rPr>
                <w:color w:val="231F20"/>
                <w:sz w:val="18"/>
              </w:rPr>
              <w:t>planting</w:t>
            </w:r>
          </w:p>
        </w:tc>
        <w:tc>
          <w:tcPr>
            <w:tcW w:w="4252" w:type="dxa"/>
          </w:tcPr>
          <w:p>
            <w:pPr>
              <w:pStyle w:val="TableParagraph"/>
              <w:rPr>
                <w:sz w:val="20"/>
              </w:rPr>
            </w:pPr>
          </w:p>
          <w:p>
            <w:pPr>
              <w:pStyle w:val="TableParagraph"/>
              <w:spacing w:before="4"/>
              <w:rPr>
                <w:sz w:val="28"/>
              </w:rPr>
            </w:pPr>
          </w:p>
          <w:p>
            <w:pPr>
              <w:pStyle w:val="TableParagraph"/>
              <w:spacing w:line="232" w:lineRule="auto"/>
              <w:ind w:left="108" w:right="656"/>
              <w:rPr>
                <w:sz w:val="18"/>
              </w:rPr>
            </w:pPr>
            <w:r>
              <w:rPr>
                <w:b/>
                <w:color w:val="231F20"/>
                <w:sz w:val="18"/>
              </w:rPr>
              <w:t>Data collected </w:t>
            </w:r>
            <w:r>
              <w:rPr>
                <w:color w:val="231F20"/>
                <w:sz w:val="18"/>
              </w:rPr>
              <w:t>and assessed to </w:t>
            </w:r>
            <w:r>
              <w:rPr>
                <w:b/>
                <w:color w:val="231F20"/>
                <w:sz w:val="18"/>
              </w:rPr>
              <w:t>identify trends </w:t>
            </w:r>
            <w:r>
              <w:rPr>
                <w:color w:val="231F20"/>
                <w:sz w:val="18"/>
              </w:rPr>
              <w:t>and possible procedural change review</w:t>
            </w:r>
          </w:p>
        </w:tc>
        <w:tc>
          <w:tcPr>
            <w:tcW w:w="850" w:type="dxa"/>
          </w:tcPr>
          <w:p>
            <w:pPr>
              <w:pStyle w:val="TableParagraph"/>
              <w:rPr>
                <w:sz w:val="26"/>
              </w:rPr>
            </w:pPr>
          </w:p>
          <w:p>
            <w:pPr>
              <w:pStyle w:val="TableParagraph"/>
              <w:spacing w:before="5"/>
              <w:rPr>
                <w:sz w:val="26"/>
              </w:rPr>
            </w:pPr>
          </w:p>
          <w:p>
            <w:pPr>
              <w:pStyle w:val="TableParagraph"/>
              <w:ind w:left="5"/>
              <w:jc w:val="center"/>
              <w:rPr>
                <w:rFonts w:ascii="Arial"/>
                <w:sz w:val="24"/>
              </w:rPr>
            </w:pPr>
            <w:r>
              <w:rPr>
                <w:rFonts w:ascii="Arial"/>
                <w:color w:val="1BB78D"/>
                <w:w w:val="336"/>
                <w:sz w:val="24"/>
              </w:rPr>
              <w:t>l</w:t>
            </w:r>
          </w:p>
        </w:tc>
      </w:tr>
      <w:tr>
        <w:trPr>
          <w:trHeight w:val="448"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121"/>
              <w:ind w:left="108"/>
              <w:rPr>
                <w:sz w:val="18"/>
              </w:rPr>
            </w:pPr>
            <w:r>
              <w:rPr>
                <w:color w:val="231F20"/>
                <w:sz w:val="18"/>
              </w:rPr>
              <w:t>Review tree inventory data - Street and Park trees</w:t>
            </w:r>
          </w:p>
        </w:tc>
        <w:tc>
          <w:tcPr>
            <w:tcW w:w="4252" w:type="dxa"/>
          </w:tcPr>
          <w:p>
            <w:pPr>
              <w:pStyle w:val="TableParagraph"/>
              <w:spacing w:before="140"/>
              <w:ind w:left="108"/>
              <w:rPr>
                <w:b/>
                <w:sz w:val="18"/>
              </w:rPr>
            </w:pPr>
            <w:r>
              <w:rPr>
                <w:b/>
                <w:color w:val="231F20"/>
                <w:sz w:val="18"/>
              </w:rPr>
              <w:t>Identify tree condition asset trends</w:t>
            </w:r>
          </w:p>
        </w:tc>
        <w:tc>
          <w:tcPr>
            <w:tcW w:w="850" w:type="dxa"/>
          </w:tcPr>
          <w:p>
            <w:pPr>
              <w:pStyle w:val="TableParagraph"/>
              <w:spacing w:before="86"/>
              <w:ind w:left="5"/>
              <w:jc w:val="center"/>
              <w:rPr>
                <w:rFonts w:ascii="Arial" w:hAnsi="Arial"/>
                <w:b/>
                <w:sz w:val="24"/>
              </w:rPr>
            </w:pPr>
            <w:r>
              <w:rPr>
                <w:rFonts w:ascii="Arial" w:hAnsi="Arial"/>
                <w:b/>
                <w:color w:val="D34D49"/>
                <w:sz w:val="24"/>
              </w:rPr>
              <w:t>■</w:t>
            </w:r>
          </w:p>
        </w:tc>
      </w:tr>
      <w:tr>
        <w:trPr>
          <w:trHeight w:val="84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24"/>
              <w:ind w:left="108"/>
              <w:rPr>
                <w:sz w:val="18"/>
              </w:rPr>
            </w:pPr>
            <w:r>
              <w:rPr>
                <w:color w:val="231F20"/>
                <w:sz w:val="18"/>
              </w:rPr>
              <w:t>Review performance of Annual Tree planting program (Streets &amp; Parks) and Capital tree planting programs (Streets &amp; Parks) — Canopy increase</w:t>
            </w:r>
          </w:p>
        </w:tc>
        <w:tc>
          <w:tcPr>
            <w:tcW w:w="4252" w:type="dxa"/>
          </w:tcPr>
          <w:p>
            <w:pPr>
              <w:pStyle w:val="TableParagraph"/>
              <w:spacing w:before="5"/>
              <w:rPr>
                <w:sz w:val="29"/>
              </w:rPr>
            </w:pPr>
          </w:p>
          <w:p>
            <w:pPr>
              <w:pStyle w:val="TableParagraph"/>
              <w:ind w:left="108"/>
              <w:rPr>
                <w:b/>
                <w:sz w:val="18"/>
              </w:rPr>
            </w:pPr>
            <w:r>
              <w:rPr>
                <w:color w:val="231F20"/>
                <w:sz w:val="18"/>
              </w:rPr>
              <w:t>Review performed </w:t>
            </w:r>
            <w:r>
              <w:rPr>
                <w:b/>
                <w:color w:val="231F20"/>
                <w:sz w:val="18"/>
              </w:rPr>
              <w:t>trend identified</w:t>
            </w:r>
          </w:p>
        </w:tc>
        <w:tc>
          <w:tcPr>
            <w:tcW w:w="850" w:type="dxa"/>
          </w:tcPr>
          <w:p>
            <w:pPr>
              <w:pStyle w:val="TableParagraph"/>
              <w:spacing w:before="9"/>
              <w:rPr>
                <w:sz w:val="24"/>
              </w:rPr>
            </w:pPr>
          </w:p>
          <w:p>
            <w:pPr>
              <w:pStyle w:val="TableParagraph"/>
              <w:ind w:left="5"/>
              <w:jc w:val="center"/>
              <w:rPr>
                <w:rFonts w:ascii="Arial" w:hAnsi="Arial"/>
                <w:b/>
                <w:sz w:val="24"/>
              </w:rPr>
            </w:pPr>
            <w:r>
              <w:rPr>
                <w:rFonts w:ascii="Arial" w:hAnsi="Arial"/>
                <w:b/>
                <w:color w:val="D34D49"/>
                <w:sz w:val="24"/>
              </w:rPr>
              <w:t>■</w:t>
            </w:r>
          </w:p>
        </w:tc>
      </w:tr>
    </w:tbl>
    <w:p>
      <w:pPr>
        <w:spacing w:after="0"/>
        <w:jc w:val="center"/>
        <w:rPr>
          <w:rFonts w:ascii="Arial" w:hAnsi="Arial"/>
          <w:sz w:val="24"/>
        </w:rPr>
        <w:sectPr>
          <w:pgSz w:w="11910" w:h="16840"/>
          <w:pgMar w:header="0" w:footer="779" w:top="560" w:bottom="960" w:left="460" w:right="440"/>
        </w:sectPr>
      </w:pPr>
    </w:p>
    <w:p>
      <w:pPr>
        <w:pStyle w:val="BodyText"/>
        <w:ind w:left="-10"/>
        <w:rPr>
          <w:sz w:val="20"/>
        </w:rPr>
      </w:pPr>
      <w:r>
        <w:rPr>
          <w:sz w:val="20"/>
        </w:rPr>
        <w:pict>
          <v:group style="width:530.1pt;height:77.3pt;mso-position-horizontal-relative:char;mso-position-vertical-relative:line" coordorigin="0,0" coordsize="10602,1546">
            <v:line style="position:absolute" from="10602,1492" to="0,1492" stroked="true" strokeweight=".25pt" strokecolor="#808285">
              <v:stroke dashstyle="solid"/>
            </v:line>
            <v:line style="position:absolute" from="3510,0" to="3510,1502" stroked="true" strokeweight=".25pt" strokecolor="#808285">
              <v:stroke dashstyle="solid"/>
            </v:line>
            <v:shape style="position:absolute;left:226;top:443;width:458;height:1102" type="#_x0000_t202" filled="false" stroked="false">
              <v:textbox inset="0,0,0,0">
                <w:txbxContent>
                  <w:p>
                    <w:pPr>
                      <w:spacing w:line="1100" w:lineRule="exact" w:before="0"/>
                      <w:ind w:left="0" w:right="0" w:firstLine="0"/>
                      <w:jc w:val="left"/>
                      <w:rPr>
                        <w:b/>
                        <w:sz w:val="96"/>
                      </w:rPr>
                    </w:pPr>
                    <w:r>
                      <w:rPr>
                        <w:b/>
                        <w:color w:val="808285"/>
                        <w:sz w:val="96"/>
                      </w:rPr>
                      <w:t>4</w:t>
                    </w:r>
                  </w:p>
                </w:txbxContent>
              </v:textbox>
              <w10:wrap type="none"/>
            </v:shape>
            <v:shape style="position:absolute;left:972;top:817;width:2290;height:576" type="#_x0000_t202" filled="false" stroked="false">
              <v:textbox inset="0,0,0,0">
                <w:txbxContent>
                  <w:p>
                    <w:pPr>
                      <w:spacing w:line="275" w:lineRule="exact" w:before="0"/>
                      <w:ind w:left="381" w:right="0" w:firstLine="0"/>
                      <w:jc w:val="left"/>
                      <w:rPr>
                        <w:i/>
                        <w:sz w:val="24"/>
                      </w:rPr>
                    </w:pPr>
                    <w:r>
                      <w:rPr>
                        <w:i/>
                        <w:color w:val="231F20"/>
                        <w:sz w:val="24"/>
                      </w:rPr>
                      <w:t>Marrickville Council</w:t>
                    </w:r>
                  </w:p>
                  <w:p>
                    <w:pPr>
                      <w:spacing w:before="25"/>
                      <w:ind w:left="0" w:right="0" w:firstLine="0"/>
                      <w:jc w:val="left"/>
                      <w:rPr>
                        <w:b/>
                        <w:i/>
                        <w:sz w:val="24"/>
                      </w:rPr>
                    </w:pPr>
                    <w:r>
                      <w:rPr>
                        <w:b/>
                        <w:i/>
                        <w:color w:val="231F20"/>
                        <w:sz w:val="24"/>
                      </w:rPr>
                      <w:t>Urban  Forest Strategy</w:t>
                    </w:r>
                  </w:p>
                </w:txbxContent>
              </v:textbox>
              <w10:wrap type="none"/>
            </v:shape>
          </v:group>
        </w:pict>
      </w:r>
      <w:r>
        <w:rPr>
          <w:sz w:val="20"/>
        </w:rPr>
      </w:r>
    </w:p>
    <w:p>
      <w:pPr>
        <w:pStyle w:val="BodyText"/>
        <w:rPr>
          <w:sz w:val="20"/>
        </w:rPr>
      </w:pPr>
    </w:p>
    <w:p>
      <w:pPr>
        <w:pStyle w:val="BodyText"/>
        <w:spacing w:before="5"/>
        <w:rPr>
          <w:sz w:val="11"/>
        </w:rPr>
      </w:pPr>
    </w:p>
    <w:tbl>
      <w:tblPr>
        <w:tblW w:w="0" w:type="auto"/>
        <w:jc w:val="left"/>
        <w:tblInd w:w="10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850"/>
        <w:gridCol w:w="3966"/>
        <w:gridCol w:w="4252"/>
        <w:gridCol w:w="850"/>
      </w:tblGrid>
      <w:tr>
        <w:trPr>
          <w:trHeight w:val="448" w:hRule="atLeast"/>
        </w:trPr>
        <w:tc>
          <w:tcPr>
            <w:tcW w:w="567" w:type="dxa"/>
          </w:tcPr>
          <w:p>
            <w:pPr>
              <w:pStyle w:val="TableParagraph"/>
              <w:spacing w:before="140"/>
              <w:ind w:left="98" w:right="93"/>
              <w:jc w:val="center"/>
              <w:rPr>
                <w:b/>
                <w:sz w:val="18"/>
              </w:rPr>
            </w:pPr>
            <w:r>
              <w:rPr>
                <w:b/>
                <w:color w:val="231F20"/>
                <w:sz w:val="18"/>
              </w:rPr>
              <w:t>No.</w:t>
            </w:r>
          </w:p>
        </w:tc>
        <w:tc>
          <w:tcPr>
            <w:tcW w:w="850" w:type="dxa"/>
          </w:tcPr>
          <w:p>
            <w:pPr>
              <w:pStyle w:val="TableParagraph"/>
              <w:spacing w:before="140"/>
              <w:ind w:left="113" w:right="108"/>
              <w:jc w:val="center"/>
              <w:rPr>
                <w:b/>
                <w:sz w:val="18"/>
              </w:rPr>
            </w:pPr>
            <w:r>
              <w:rPr>
                <w:b/>
                <w:color w:val="231F20"/>
                <w:sz w:val="18"/>
              </w:rPr>
              <w:t>Priority</w:t>
            </w:r>
          </w:p>
        </w:tc>
        <w:tc>
          <w:tcPr>
            <w:tcW w:w="3966" w:type="dxa"/>
          </w:tcPr>
          <w:p>
            <w:pPr>
              <w:pStyle w:val="TableParagraph"/>
              <w:spacing w:before="140"/>
              <w:ind w:left="1692" w:right="1687"/>
              <w:jc w:val="center"/>
              <w:rPr>
                <w:b/>
                <w:sz w:val="18"/>
              </w:rPr>
            </w:pPr>
            <w:r>
              <w:rPr>
                <w:b/>
                <w:color w:val="231F20"/>
                <w:sz w:val="18"/>
              </w:rPr>
              <w:t>Actions</w:t>
            </w:r>
          </w:p>
        </w:tc>
        <w:tc>
          <w:tcPr>
            <w:tcW w:w="4252" w:type="dxa"/>
          </w:tcPr>
          <w:p>
            <w:pPr>
              <w:pStyle w:val="TableParagraph"/>
              <w:spacing w:before="140"/>
              <w:ind w:left="1786" w:right="1781"/>
              <w:jc w:val="center"/>
              <w:rPr>
                <w:b/>
                <w:sz w:val="18"/>
              </w:rPr>
            </w:pPr>
            <w:r>
              <w:rPr>
                <w:b/>
                <w:color w:val="231F20"/>
                <w:sz w:val="18"/>
              </w:rPr>
              <w:t>Outcome</w:t>
            </w:r>
          </w:p>
        </w:tc>
        <w:tc>
          <w:tcPr>
            <w:tcW w:w="850" w:type="dxa"/>
          </w:tcPr>
          <w:p>
            <w:pPr>
              <w:pStyle w:val="TableParagraph"/>
              <w:spacing w:before="140"/>
              <w:ind w:left="114" w:right="108"/>
              <w:jc w:val="center"/>
              <w:rPr>
                <w:b/>
                <w:sz w:val="18"/>
              </w:rPr>
            </w:pPr>
            <w:r>
              <w:rPr>
                <w:b/>
                <w:color w:val="231F20"/>
                <w:sz w:val="18"/>
              </w:rPr>
              <w:t>Funding</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HP</w:t>
            </w:r>
          </w:p>
        </w:tc>
        <w:tc>
          <w:tcPr>
            <w:tcW w:w="3966" w:type="dxa"/>
          </w:tcPr>
          <w:p>
            <w:pPr>
              <w:pStyle w:val="TableParagraph"/>
              <w:spacing w:line="183" w:lineRule="exact" w:before="19"/>
              <w:ind w:left="113"/>
              <w:rPr>
                <w:sz w:val="16"/>
              </w:rPr>
            </w:pPr>
            <w:r>
              <w:rPr>
                <w:color w:val="231F20"/>
                <w:sz w:val="16"/>
              </w:rPr>
              <w:t>High Priority</w:t>
            </w:r>
          </w:p>
        </w:tc>
        <w:tc>
          <w:tcPr>
            <w:tcW w:w="4252" w:type="dxa"/>
          </w:tcPr>
          <w:p>
            <w:pPr>
              <w:pStyle w:val="TableParagraph"/>
              <w:spacing w:line="183" w:lineRule="exact" w:before="19"/>
              <w:ind w:left="1032"/>
              <w:rPr>
                <w:sz w:val="16"/>
              </w:rPr>
            </w:pPr>
            <w:r>
              <w:rPr>
                <w:color w:val="231F20"/>
                <w:sz w:val="16"/>
              </w:rPr>
              <w:t>Require substantial additional funding</w:t>
            </w:r>
          </w:p>
        </w:tc>
        <w:tc>
          <w:tcPr>
            <w:tcW w:w="850" w:type="dxa"/>
          </w:tcPr>
          <w:p>
            <w:pPr>
              <w:pStyle w:val="TableParagraph"/>
              <w:spacing w:line="202" w:lineRule="exact"/>
              <w:ind w:left="5"/>
              <w:jc w:val="center"/>
              <w:rPr>
                <w:rFonts w:ascii="Arial" w:hAnsi="Arial"/>
                <w:b/>
                <w:sz w:val="24"/>
              </w:rPr>
            </w:pPr>
            <w:r>
              <w:rPr>
                <w:rFonts w:ascii="Arial" w:hAnsi="Arial"/>
                <w:b/>
                <w:color w:val="D34D49"/>
                <w:sz w:val="24"/>
              </w:rPr>
              <w:t>■</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MP</w:t>
            </w:r>
          </w:p>
        </w:tc>
        <w:tc>
          <w:tcPr>
            <w:tcW w:w="3966" w:type="dxa"/>
          </w:tcPr>
          <w:p>
            <w:pPr>
              <w:pStyle w:val="TableParagraph"/>
              <w:spacing w:line="183" w:lineRule="exact" w:before="19"/>
              <w:ind w:left="113"/>
              <w:rPr>
                <w:sz w:val="16"/>
              </w:rPr>
            </w:pPr>
            <w:r>
              <w:rPr>
                <w:color w:val="231F20"/>
                <w:sz w:val="16"/>
              </w:rPr>
              <w:t>Medium Priority</w:t>
            </w:r>
          </w:p>
        </w:tc>
        <w:tc>
          <w:tcPr>
            <w:tcW w:w="4252" w:type="dxa"/>
          </w:tcPr>
          <w:p>
            <w:pPr>
              <w:pStyle w:val="TableParagraph"/>
              <w:spacing w:line="183" w:lineRule="exact" w:before="19"/>
              <w:ind w:left="1163"/>
              <w:rPr>
                <w:sz w:val="16"/>
              </w:rPr>
            </w:pPr>
            <w:r>
              <w:rPr>
                <w:color w:val="231F20"/>
                <w:sz w:val="16"/>
              </w:rPr>
              <w:t>Some additional funding required</w:t>
            </w:r>
          </w:p>
        </w:tc>
        <w:tc>
          <w:tcPr>
            <w:tcW w:w="850" w:type="dxa"/>
          </w:tcPr>
          <w:p>
            <w:pPr>
              <w:pStyle w:val="TableParagraph"/>
              <w:spacing w:line="202" w:lineRule="exact"/>
              <w:ind w:left="5"/>
              <w:jc w:val="center"/>
              <w:rPr>
                <w:rFonts w:ascii="Arial"/>
                <w:sz w:val="24"/>
              </w:rPr>
            </w:pPr>
            <w:r>
              <w:rPr>
                <w:rFonts w:ascii="Arial"/>
                <w:color w:val="FDB933"/>
                <w:w w:val="268"/>
                <w:sz w:val="24"/>
              </w:rPr>
              <w:t>t</w:t>
            </w:r>
          </w:p>
        </w:tc>
      </w:tr>
      <w:tr>
        <w:trPr>
          <w:trHeight w:val="214" w:hRule="atLeast"/>
        </w:trPr>
        <w:tc>
          <w:tcPr>
            <w:tcW w:w="567" w:type="dxa"/>
            <w:tcBorders>
              <w:bottom w:val="single" w:sz="8" w:space="0" w:color="231F20"/>
            </w:tcBorders>
          </w:tcPr>
          <w:p>
            <w:pPr>
              <w:pStyle w:val="TableParagraph"/>
              <w:rPr>
                <w:rFonts w:ascii="Times New Roman"/>
                <w:sz w:val="14"/>
              </w:rPr>
            </w:pPr>
          </w:p>
        </w:tc>
        <w:tc>
          <w:tcPr>
            <w:tcW w:w="850" w:type="dxa"/>
            <w:tcBorders>
              <w:bottom w:val="single" w:sz="8" w:space="0" w:color="231F20"/>
            </w:tcBorders>
          </w:tcPr>
          <w:p>
            <w:pPr>
              <w:pStyle w:val="TableParagraph"/>
              <w:spacing w:line="172" w:lineRule="exact" w:before="22"/>
              <w:ind w:left="114" w:right="107"/>
              <w:jc w:val="center"/>
              <w:rPr>
                <w:b/>
                <w:sz w:val="18"/>
              </w:rPr>
            </w:pPr>
            <w:r>
              <w:rPr>
                <w:b/>
                <w:color w:val="231F20"/>
                <w:sz w:val="18"/>
              </w:rPr>
              <w:t>LP</w:t>
            </w:r>
          </w:p>
        </w:tc>
        <w:tc>
          <w:tcPr>
            <w:tcW w:w="3966" w:type="dxa"/>
            <w:tcBorders>
              <w:bottom w:val="single" w:sz="8" w:space="0" w:color="231F20"/>
            </w:tcBorders>
          </w:tcPr>
          <w:p>
            <w:pPr>
              <w:pStyle w:val="TableParagraph"/>
              <w:spacing w:line="179" w:lineRule="exact" w:before="15"/>
              <w:ind w:left="113"/>
              <w:rPr>
                <w:sz w:val="16"/>
              </w:rPr>
            </w:pPr>
            <w:r>
              <w:rPr>
                <w:color w:val="231F20"/>
                <w:sz w:val="16"/>
              </w:rPr>
              <w:t>Low Priority</w:t>
            </w:r>
          </w:p>
        </w:tc>
        <w:tc>
          <w:tcPr>
            <w:tcW w:w="4252" w:type="dxa"/>
            <w:tcBorders>
              <w:bottom w:val="single" w:sz="8" w:space="0" w:color="231F20"/>
            </w:tcBorders>
          </w:tcPr>
          <w:p>
            <w:pPr>
              <w:pStyle w:val="TableParagraph"/>
              <w:spacing w:line="179" w:lineRule="exact" w:before="15"/>
              <w:ind w:left="313"/>
              <w:rPr>
                <w:sz w:val="16"/>
              </w:rPr>
            </w:pPr>
            <w:r>
              <w:rPr>
                <w:color w:val="231F20"/>
                <w:sz w:val="16"/>
              </w:rPr>
              <w:t>Little / no additional funding required — use existing resources</w:t>
            </w:r>
          </w:p>
        </w:tc>
        <w:tc>
          <w:tcPr>
            <w:tcW w:w="850" w:type="dxa"/>
            <w:tcBorders>
              <w:bottom w:val="single" w:sz="8" w:space="0" w:color="231F20"/>
            </w:tcBorders>
          </w:tcPr>
          <w:p>
            <w:pPr>
              <w:pStyle w:val="TableParagraph"/>
              <w:spacing w:line="194" w:lineRule="exact"/>
              <w:ind w:left="5"/>
              <w:jc w:val="center"/>
              <w:rPr>
                <w:rFonts w:ascii="Arial"/>
                <w:sz w:val="24"/>
              </w:rPr>
            </w:pPr>
            <w:r>
              <w:rPr>
                <w:rFonts w:ascii="Arial"/>
                <w:color w:val="1BB78D"/>
                <w:w w:val="336"/>
                <w:sz w:val="24"/>
              </w:rPr>
              <w:t>l</w:t>
            </w:r>
          </w:p>
        </w:tc>
      </w:tr>
      <w:tr>
        <w:trPr>
          <w:trHeight w:val="448" w:hRule="atLeast"/>
        </w:trPr>
        <w:tc>
          <w:tcPr>
            <w:tcW w:w="567" w:type="dxa"/>
            <w:tcBorders>
              <w:top w:val="single" w:sz="8" w:space="0" w:color="231F20"/>
            </w:tcBorders>
          </w:tcPr>
          <w:p>
            <w:pPr>
              <w:pStyle w:val="TableParagraph"/>
              <w:spacing w:before="140"/>
              <w:ind w:left="45"/>
              <w:jc w:val="center"/>
              <w:rPr>
                <w:b/>
                <w:sz w:val="18"/>
              </w:rPr>
            </w:pPr>
            <w:r>
              <w:rPr>
                <w:b/>
                <w:color w:val="231F20"/>
                <w:sz w:val="18"/>
              </w:rPr>
              <w:t>2</w:t>
            </w:r>
          </w:p>
        </w:tc>
        <w:tc>
          <w:tcPr>
            <w:tcW w:w="850" w:type="dxa"/>
            <w:tcBorders>
              <w:top w:val="single" w:sz="8" w:space="0" w:color="231F20"/>
            </w:tcBorders>
          </w:tcPr>
          <w:p>
            <w:pPr>
              <w:pStyle w:val="TableParagraph"/>
              <w:rPr>
                <w:rFonts w:ascii="Times New Roman"/>
                <w:sz w:val="18"/>
              </w:rPr>
            </w:pPr>
          </w:p>
        </w:tc>
        <w:tc>
          <w:tcPr>
            <w:tcW w:w="9068" w:type="dxa"/>
            <w:gridSpan w:val="3"/>
            <w:tcBorders>
              <w:top w:val="single" w:sz="8" w:space="0" w:color="231F20"/>
            </w:tcBorders>
          </w:tcPr>
          <w:p>
            <w:pPr>
              <w:pStyle w:val="TableParagraph"/>
              <w:spacing w:before="140"/>
              <w:ind w:left="113"/>
              <w:rPr>
                <w:b/>
                <w:sz w:val="18"/>
              </w:rPr>
            </w:pPr>
            <w:r>
              <w:rPr>
                <w:b/>
                <w:color w:val="231F20"/>
                <w:sz w:val="18"/>
              </w:rPr>
              <w:t>Action 2: Increase Marrickville’s Urban Forest Canopy</w:t>
            </w:r>
          </w:p>
        </w:tc>
      </w:tr>
      <w:tr>
        <w:trPr>
          <w:trHeight w:val="335" w:hRule="atLeast"/>
        </w:trPr>
        <w:tc>
          <w:tcPr>
            <w:tcW w:w="567" w:type="dxa"/>
          </w:tcPr>
          <w:p>
            <w:pPr>
              <w:pStyle w:val="TableParagraph"/>
              <w:spacing w:before="83"/>
              <w:ind w:left="98" w:right="94"/>
              <w:jc w:val="center"/>
              <w:rPr>
                <w:b/>
                <w:sz w:val="18"/>
              </w:rPr>
            </w:pPr>
            <w:r>
              <w:rPr>
                <w:b/>
                <w:color w:val="231F20"/>
                <w:sz w:val="18"/>
              </w:rPr>
              <w:t>2.1</w:t>
            </w:r>
          </w:p>
        </w:tc>
        <w:tc>
          <w:tcPr>
            <w:tcW w:w="850" w:type="dxa"/>
          </w:tcPr>
          <w:p>
            <w:pPr>
              <w:pStyle w:val="TableParagraph"/>
              <w:spacing w:before="83"/>
              <w:ind w:left="114" w:right="107"/>
              <w:jc w:val="center"/>
              <w:rPr>
                <w:b/>
                <w:sz w:val="18"/>
              </w:rPr>
            </w:pPr>
            <w:r>
              <w:rPr>
                <w:b/>
                <w:color w:val="231F20"/>
                <w:sz w:val="18"/>
              </w:rPr>
              <w:t>HP</w:t>
            </w:r>
          </w:p>
        </w:tc>
        <w:tc>
          <w:tcPr>
            <w:tcW w:w="3966" w:type="dxa"/>
          </w:tcPr>
          <w:p>
            <w:pPr>
              <w:pStyle w:val="TableParagraph"/>
              <w:spacing w:before="83"/>
              <w:ind w:left="113"/>
              <w:rPr>
                <w:b/>
                <w:sz w:val="18"/>
              </w:rPr>
            </w:pPr>
            <w:r>
              <w:rPr>
                <w:b/>
                <w:color w:val="231F20"/>
                <w:sz w:val="18"/>
              </w:rPr>
              <w:t>Prepare Street Master Plan (STMP)</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169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numPr>
                <w:ilvl w:val="0"/>
                <w:numId w:val="15"/>
              </w:numPr>
              <w:tabs>
                <w:tab w:pos="284" w:val="left" w:leader="none"/>
              </w:tabs>
              <w:spacing w:line="240" w:lineRule="auto" w:before="119" w:after="0"/>
              <w:ind w:left="283" w:right="0" w:hanging="170"/>
              <w:jc w:val="left"/>
              <w:rPr>
                <w:sz w:val="18"/>
              </w:rPr>
            </w:pPr>
            <w:r>
              <w:rPr>
                <w:color w:val="231F20"/>
                <w:sz w:val="18"/>
              </w:rPr>
              <w:t>Design and scope</w:t>
            </w:r>
            <w:r>
              <w:rPr>
                <w:color w:val="231F20"/>
                <w:spacing w:val="-3"/>
                <w:sz w:val="18"/>
              </w:rPr>
              <w:t> </w:t>
            </w:r>
            <w:r>
              <w:rPr>
                <w:color w:val="231F20"/>
                <w:sz w:val="18"/>
              </w:rPr>
              <w:t>STMP</w:t>
            </w:r>
          </w:p>
          <w:p>
            <w:pPr>
              <w:pStyle w:val="TableParagraph"/>
              <w:numPr>
                <w:ilvl w:val="0"/>
                <w:numId w:val="15"/>
              </w:numPr>
              <w:tabs>
                <w:tab w:pos="284" w:val="left" w:leader="none"/>
              </w:tabs>
              <w:spacing w:line="230" w:lineRule="auto" w:before="43" w:after="0"/>
              <w:ind w:left="283" w:right="110" w:hanging="170"/>
              <w:jc w:val="left"/>
              <w:rPr>
                <w:sz w:val="18"/>
              </w:rPr>
            </w:pPr>
            <w:r>
              <w:rPr>
                <w:color w:val="231F20"/>
                <w:spacing w:val="-4"/>
                <w:sz w:val="18"/>
              </w:rPr>
              <w:t>Prepare </w:t>
            </w:r>
            <w:r>
              <w:rPr>
                <w:color w:val="231F20"/>
                <w:sz w:val="18"/>
              </w:rPr>
              <w:t>on a </w:t>
            </w:r>
            <w:r>
              <w:rPr>
                <w:color w:val="231F20"/>
                <w:spacing w:val="-4"/>
                <w:sz w:val="18"/>
              </w:rPr>
              <w:t>landscape units </w:t>
            </w:r>
            <w:r>
              <w:rPr>
                <w:color w:val="231F20"/>
                <w:spacing w:val="-3"/>
                <w:sz w:val="18"/>
              </w:rPr>
              <w:t>and </w:t>
            </w:r>
            <w:r>
              <w:rPr>
                <w:color w:val="231F20"/>
                <w:spacing w:val="-4"/>
                <w:sz w:val="18"/>
              </w:rPr>
              <w:t>residential character precincts.</w:t>
            </w:r>
          </w:p>
          <w:p>
            <w:pPr>
              <w:pStyle w:val="TableParagraph"/>
              <w:numPr>
                <w:ilvl w:val="0"/>
                <w:numId w:val="15"/>
              </w:numPr>
              <w:tabs>
                <w:tab w:pos="284" w:val="left" w:leader="none"/>
              </w:tabs>
              <w:spacing w:line="240" w:lineRule="auto" w:before="40" w:after="0"/>
              <w:ind w:left="283" w:right="0" w:hanging="170"/>
              <w:jc w:val="left"/>
              <w:rPr>
                <w:sz w:val="18"/>
              </w:rPr>
            </w:pPr>
            <w:r>
              <w:rPr>
                <w:color w:val="231F20"/>
                <w:sz w:val="18"/>
              </w:rPr>
              <w:t>Also consider sub-catchment</w:t>
            </w:r>
            <w:r>
              <w:rPr>
                <w:color w:val="231F20"/>
                <w:spacing w:val="-4"/>
                <w:sz w:val="18"/>
              </w:rPr>
              <w:t> </w:t>
            </w:r>
            <w:r>
              <w:rPr>
                <w:color w:val="231F20"/>
                <w:sz w:val="18"/>
              </w:rPr>
              <w:t>units.</w:t>
            </w:r>
          </w:p>
          <w:p>
            <w:pPr>
              <w:pStyle w:val="TableParagraph"/>
              <w:numPr>
                <w:ilvl w:val="0"/>
                <w:numId w:val="15"/>
              </w:numPr>
              <w:tabs>
                <w:tab w:pos="284" w:val="left" w:leader="none"/>
              </w:tabs>
              <w:spacing w:line="240" w:lineRule="auto" w:before="36" w:after="0"/>
              <w:ind w:left="283" w:right="0" w:hanging="170"/>
              <w:jc w:val="left"/>
              <w:rPr>
                <w:sz w:val="18"/>
              </w:rPr>
            </w:pPr>
            <w:r>
              <w:rPr>
                <w:color w:val="231F20"/>
                <w:sz w:val="18"/>
              </w:rPr>
              <w:t>Councillor endorsement of</w:t>
            </w:r>
            <w:r>
              <w:rPr>
                <w:color w:val="231F20"/>
                <w:spacing w:val="-18"/>
                <w:sz w:val="18"/>
              </w:rPr>
              <w:t> </w:t>
            </w:r>
            <w:r>
              <w:rPr>
                <w:color w:val="231F20"/>
                <w:sz w:val="18"/>
              </w:rPr>
              <w:t>scope</w:t>
            </w:r>
          </w:p>
          <w:p>
            <w:pPr>
              <w:pStyle w:val="TableParagraph"/>
              <w:numPr>
                <w:ilvl w:val="0"/>
                <w:numId w:val="15"/>
              </w:numPr>
              <w:tabs>
                <w:tab w:pos="284" w:val="left" w:leader="none"/>
              </w:tabs>
              <w:spacing w:line="240" w:lineRule="auto" w:before="36" w:after="0"/>
              <w:ind w:left="283" w:right="0" w:hanging="170"/>
              <w:jc w:val="left"/>
              <w:rPr>
                <w:sz w:val="18"/>
              </w:rPr>
            </w:pPr>
            <w:r>
              <w:rPr>
                <w:color w:val="231F20"/>
                <w:sz w:val="18"/>
              </w:rPr>
              <w:t>Determine status of existing</w:t>
            </w:r>
            <w:r>
              <w:rPr>
                <w:color w:val="231F20"/>
                <w:spacing w:val="-20"/>
                <w:sz w:val="18"/>
              </w:rPr>
              <w:t> </w:t>
            </w:r>
            <w:r>
              <w:rPr>
                <w:color w:val="231F20"/>
                <w:sz w:val="18"/>
              </w:rPr>
              <w:t>data</w:t>
            </w:r>
          </w:p>
        </w:tc>
        <w:tc>
          <w:tcPr>
            <w:tcW w:w="4252" w:type="dxa"/>
          </w:tcPr>
          <w:p>
            <w:pPr>
              <w:pStyle w:val="TableParagraph"/>
              <w:rPr>
                <w:sz w:val="20"/>
              </w:rPr>
            </w:pPr>
          </w:p>
          <w:p>
            <w:pPr>
              <w:pStyle w:val="TableParagraph"/>
              <w:rPr>
                <w:sz w:val="20"/>
              </w:rPr>
            </w:pPr>
          </w:p>
          <w:p>
            <w:pPr>
              <w:pStyle w:val="TableParagraph"/>
              <w:spacing w:before="10"/>
              <w:rPr>
                <w:sz w:val="24"/>
              </w:rPr>
            </w:pPr>
          </w:p>
          <w:p>
            <w:pPr>
              <w:pStyle w:val="TableParagraph"/>
              <w:ind w:left="113"/>
              <w:rPr>
                <w:sz w:val="18"/>
              </w:rPr>
            </w:pPr>
            <w:r>
              <w:rPr>
                <w:color w:val="231F20"/>
                <w:sz w:val="18"/>
              </w:rPr>
              <w:t>Brief for STMP prepared</w:t>
            </w:r>
          </w:p>
        </w:tc>
        <w:tc>
          <w:tcPr>
            <w:tcW w:w="850" w:type="dxa"/>
          </w:tcPr>
          <w:p>
            <w:pPr>
              <w:pStyle w:val="TableParagraph"/>
              <w:rPr>
                <w:sz w:val="26"/>
              </w:rPr>
            </w:pPr>
          </w:p>
          <w:p>
            <w:pPr>
              <w:pStyle w:val="TableParagraph"/>
              <w:spacing w:before="3"/>
              <w:rPr>
                <w:sz w:val="36"/>
              </w:rPr>
            </w:pPr>
          </w:p>
          <w:p>
            <w:pPr>
              <w:pStyle w:val="TableParagraph"/>
              <w:spacing w:before="1"/>
              <w:ind w:left="47"/>
              <w:jc w:val="center"/>
              <w:rPr>
                <w:rFonts w:ascii="Arial"/>
                <w:sz w:val="24"/>
              </w:rPr>
            </w:pPr>
            <w:r>
              <w:rPr>
                <w:rFonts w:ascii="Arial"/>
                <w:color w:val="1BB78D"/>
                <w:w w:val="336"/>
                <w:sz w:val="24"/>
              </w:rPr>
              <w:t>l</w:t>
            </w:r>
          </w:p>
        </w:tc>
      </w:tr>
      <w:tr>
        <w:trPr>
          <w:trHeight w:val="33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64"/>
              <w:ind w:left="113"/>
              <w:rPr>
                <w:sz w:val="18"/>
              </w:rPr>
            </w:pPr>
            <w:r>
              <w:rPr>
                <w:color w:val="231F20"/>
                <w:sz w:val="18"/>
              </w:rPr>
              <w:t>Prepare draft STMP</w:t>
            </w:r>
          </w:p>
        </w:tc>
        <w:tc>
          <w:tcPr>
            <w:tcW w:w="4252" w:type="dxa"/>
          </w:tcPr>
          <w:p>
            <w:pPr>
              <w:pStyle w:val="TableParagraph"/>
              <w:spacing w:before="83"/>
              <w:ind w:left="113"/>
              <w:rPr>
                <w:sz w:val="18"/>
              </w:rPr>
            </w:pPr>
            <w:r>
              <w:rPr>
                <w:b/>
                <w:color w:val="231F20"/>
                <w:sz w:val="18"/>
              </w:rPr>
              <w:t>Commission </w:t>
            </w:r>
            <w:r>
              <w:rPr>
                <w:color w:val="231F20"/>
                <w:sz w:val="18"/>
              </w:rPr>
              <w:t>consultancy for STMP</w:t>
            </w:r>
          </w:p>
        </w:tc>
        <w:tc>
          <w:tcPr>
            <w:tcW w:w="850" w:type="dxa"/>
          </w:tcPr>
          <w:p>
            <w:pPr>
              <w:pStyle w:val="TableParagraph"/>
              <w:spacing w:before="30"/>
              <w:ind w:left="5"/>
              <w:jc w:val="center"/>
              <w:rPr>
                <w:rFonts w:ascii="Arial" w:hAnsi="Arial"/>
                <w:b/>
                <w:sz w:val="24"/>
              </w:rPr>
            </w:pPr>
            <w:r>
              <w:rPr>
                <w:rFonts w:ascii="Arial" w:hAnsi="Arial"/>
                <w:b/>
                <w:color w:val="D34D49"/>
                <w:sz w:val="24"/>
              </w:rPr>
              <w:t>■</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178"/>
              <w:ind w:left="113"/>
              <w:rPr>
                <w:sz w:val="18"/>
              </w:rPr>
            </w:pPr>
            <w:r>
              <w:rPr>
                <w:color w:val="231F20"/>
                <w:sz w:val="18"/>
              </w:rPr>
              <w:t>Community consultation process on draft STMP</w:t>
            </w:r>
          </w:p>
        </w:tc>
        <w:tc>
          <w:tcPr>
            <w:tcW w:w="4252" w:type="dxa"/>
          </w:tcPr>
          <w:p>
            <w:pPr>
              <w:pStyle w:val="TableParagraph"/>
              <w:spacing w:line="232" w:lineRule="auto" w:before="101"/>
              <w:ind w:left="113"/>
              <w:rPr>
                <w:sz w:val="18"/>
              </w:rPr>
            </w:pPr>
            <w:r>
              <w:rPr>
                <w:b/>
                <w:color w:val="231F20"/>
                <w:sz w:val="18"/>
              </w:rPr>
              <w:t>STMP exhibited </w:t>
            </w:r>
            <w:r>
              <w:rPr>
                <w:color w:val="231F20"/>
                <w:sz w:val="18"/>
              </w:rPr>
              <w:t>to community and submissions received and incorporated as appropriate</w:t>
            </w:r>
          </w:p>
        </w:tc>
        <w:tc>
          <w:tcPr>
            <w:tcW w:w="850" w:type="dxa"/>
          </w:tcPr>
          <w:p>
            <w:pPr>
              <w:pStyle w:val="TableParagraph"/>
              <w:spacing w:before="148"/>
              <w:ind w:left="5"/>
              <w:jc w:val="center"/>
              <w:rPr>
                <w:rFonts w:ascii="Arial"/>
                <w:sz w:val="24"/>
              </w:rPr>
            </w:pPr>
            <w:r>
              <w:rPr>
                <w:rFonts w:ascii="Arial"/>
                <w:color w:val="FDB933"/>
                <w:w w:val="268"/>
                <w:sz w:val="24"/>
              </w:rPr>
              <w:t>t</w:t>
            </w:r>
          </w:p>
        </w:tc>
      </w:tr>
      <w:tr>
        <w:trPr>
          <w:trHeight w:val="33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64"/>
              <w:ind w:left="113"/>
              <w:rPr>
                <w:sz w:val="18"/>
              </w:rPr>
            </w:pPr>
            <w:r>
              <w:rPr>
                <w:color w:val="231F20"/>
                <w:sz w:val="18"/>
              </w:rPr>
              <w:t>Adoption of STMP</w:t>
            </w:r>
          </w:p>
        </w:tc>
        <w:tc>
          <w:tcPr>
            <w:tcW w:w="4252" w:type="dxa"/>
          </w:tcPr>
          <w:p>
            <w:pPr>
              <w:pStyle w:val="TableParagraph"/>
              <w:spacing w:before="83"/>
              <w:ind w:left="113"/>
              <w:rPr>
                <w:b/>
                <w:sz w:val="18"/>
              </w:rPr>
            </w:pPr>
            <w:r>
              <w:rPr>
                <w:color w:val="231F20"/>
                <w:sz w:val="18"/>
              </w:rPr>
              <w:t>STMP document </w:t>
            </w:r>
            <w:r>
              <w:rPr>
                <w:b/>
                <w:color w:val="231F20"/>
                <w:sz w:val="18"/>
              </w:rPr>
              <w:t>complete</w:t>
            </w:r>
          </w:p>
        </w:tc>
        <w:tc>
          <w:tcPr>
            <w:tcW w:w="850" w:type="dxa"/>
          </w:tcPr>
          <w:p>
            <w:pPr>
              <w:pStyle w:val="TableParagraph"/>
              <w:spacing w:before="35"/>
              <w:ind w:left="47"/>
              <w:jc w:val="center"/>
              <w:rPr>
                <w:rFonts w:ascii="Arial"/>
                <w:sz w:val="24"/>
              </w:rPr>
            </w:pPr>
            <w:r>
              <w:rPr>
                <w:rFonts w:ascii="Arial"/>
                <w:color w:val="1BB78D"/>
                <w:w w:val="336"/>
                <w:sz w:val="24"/>
              </w:rPr>
              <w:t>l</w:t>
            </w:r>
          </w:p>
        </w:tc>
      </w:tr>
      <w:tr>
        <w:trPr>
          <w:trHeight w:val="33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64"/>
              <w:ind w:left="113"/>
              <w:rPr>
                <w:sz w:val="18"/>
              </w:rPr>
            </w:pPr>
            <w:r>
              <w:rPr>
                <w:color w:val="231F20"/>
                <w:sz w:val="18"/>
              </w:rPr>
              <w:t>Implementation of STMP</w:t>
            </w:r>
          </w:p>
        </w:tc>
        <w:tc>
          <w:tcPr>
            <w:tcW w:w="4252" w:type="dxa"/>
          </w:tcPr>
          <w:p>
            <w:pPr>
              <w:pStyle w:val="TableParagraph"/>
              <w:spacing w:before="83"/>
              <w:ind w:left="113"/>
              <w:rPr>
                <w:sz w:val="18"/>
              </w:rPr>
            </w:pPr>
            <w:r>
              <w:rPr>
                <w:b/>
                <w:color w:val="231F20"/>
                <w:sz w:val="18"/>
              </w:rPr>
              <w:t>Program prepared </w:t>
            </w:r>
            <w:r>
              <w:rPr>
                <w:color w:val="231F20"/>
                <w:sz w:val="18"/>
              </w:rPr>
              <w:t>Refer 2.1.1; 2.1.2; 2.1.3</w:t>
            </w:r>
          </w:p>
        </w:tc>
        <w:tc>
          <w:tcPr>
            <w:tcW w:w="850" w:type="dxa"/>
          </w:tcPr>
          <w:p>
            <w:pPr>
              <w:pStyle w:val="TableParagraph"/>
              <w:spacing w:before="35"/>
              <w:ind w:left="47"/>
              <w:jc w:val="center"/>
              <w:rPr>
                <w:rFonts w:ascii="Arial"/>
                <w:sz w:val="24"/>
              </w:rPr>
            </w:pPr>
            <w:r>
              <w:rPr>
                <w:rFonts w:ascii="Arial"/>
                <w:color w:val="1BB78D"/>
                <w:w w:val="336"/>
                <w:sz w:val="24"/>
              </w:rPr>
              <w:t>l</w:t>
            </w:r>
          </w:p>
        </w:tc>
      </w:tr>
      <w:tr>
        <w:trPr>
          <w:trHeight w:val="335" w:hRule="atLeast"/>
        </w:trPr>
        <w:tc>
          <w:tcPr>
            <w:tcW w:w="567" w:type="dxa"/>
          </w:tcPr>
          <w:p>
            <w:pPr>
              <w:pStyle w:val="TableParagraph"/>
              <w:spacing w:before="83"/>
              <w:ind w:left="98" w:right="94"/>
              <w:jc w:val="center"/>
              <w:rPr>
                <w:b/>
                <w:sz w:val="18"/>
              </w:rPr>
            </w:pPr>
            <w:r>
              <w:rPr>
                <w:b/>
                <w:color w:val="231F20"/>
                <w:sz w:val="18"/>
              </w:rPr>
              <w:t>2.1.1</w:t>
            </w:r>
          </w:p>
        </w:tc>
        <w:tc>
          <w:tcPr>
            <w:tcW w:w="850" w:type="dxa"/>
          </w:tcPr>
          <w:p>
            <w:pPr>
              <w:pStyle w:val="TableParagraph"/>
              <w:spacing w:before="83"/>
              <w:ind w:left="114" w:right="107"/>
              <w:jc w:val="center"/>
              <w:rPr>
                <w:b/>
                <w:sz w:val="18"/>
              </w:rPr>
            </w:pPr>
            <w:r>
              <w:rPr>
                <w:b/>
                <w:color w:val="231F20"/>
                <w:sz w:val="18"/>
              </w:rPr>
              <w:t>MP</w:t>
            </w:r>
          </w:p>
        </w:tc>
        <w:tc>
          <w:tcPr>
            <w:tcW w:w="3966" w:type="dxa"/>
          </w:tcPr>
          <w:p>
            <w:pPr>
              <w:pStyle w:val="TableParagraph"/>
              <w:spacing w:before="83"/>
              <w:ind w:left="113"/>
              <w:rPr>
                <w:b/>
                <w:sz w:val="18"/>
              </w:rPr>
            </w:pPr>
            <w:r>
              <w:rPr>
                <w:b/>
                <w:color w:val="231F20"/>
                <w:sz w:val="18"/>
              </w:rPr>
              <w:t>Annual tree planting program</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1412"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numPr>
                <w:ilvl w:val="0"/>
                <w:numId w:val="16"/>
              </w:numPr>
              <w:tabs>
                <w:tab w:pos="284" w:val="left" w:leader="none"/>
              </w:tabs>
              <w:spacing w:line="230" w:lineRule="auto" w:before="69" w:after="0"/>
              <w:ind w:left="283" w:right="1065" w:hanging="170"/>
              <w:jc w:val="left"/>
              <w:rPr>
                <w:sz w:val="18"/>
              </w:rPr>
            </w:pPr>
            <w:r>
              <w:rPr>
                <w:color w:val="231F20"/>
                <w:sz w:val="18"/>
              </w:rPr>
              <w:t>Undertake annual tree planting program (Streets &amp; Parks)</w:t>
            </w:r>
          </w:p>
          <w:p>
            <w:pPr>
              <w:pStyle w:val="TableParagraph"/>
              <w:numPr>
                <w:ilvl w:val="0"/>
                <w:numId w:val="16"/>
              </w:numPr>
              <w:tabs>
                <w:tab w:pos="284" w:val="left" w:leader="none"/>
              </w:tabs>
              <w:spacing w:line="232" w:lineRule="auto" w:before="45" w:after="0"/>
              <w:ind w:left="283" w:right="450" w:hanging="170"/>
              <w:jc w:val="left"/>
              <w:rPr>
                <w:sz w:val="18"/>
              </w:rPr>
            </w:pPr>
            <w:r>
              <w:rPr>
                <w:color w:val="231F20"/>
                <w:spacing w:val="-9"/>
                <w:sz w:val="18"/>
              </w:rPr>
              <w:t>To </w:t>
            </w:r>
            <w:r>
              <w:rPr>
                <w:color w:val="231F20"/>
                <w:sz w:val="18"/>
              </w:rPr>
              <w:t>retain existing canopy cover — maintenance planting program of replacement of failed and removed trees and resident requests for new tree planting</w:t>
            </w:r>
          </w:p>
        </w:tc>
        <w:tc>
          <w:tcPr>
            <w:tcW w:w="4252" w:type="dxa"/>
          </w:tcPr>
          <w:p>
            <w:pPr>
              <w:pStyle w:val="TableParagraph"/>
              <w:rPr>
                <w:sz w:val="20"/>
              </w:rPr>
            </w:pPr>
          </w:p>
          <w:p>
            <w:pPr>
              <w:pStyle w:val="TableParagraph"/>
              <w:rPr>
                <w:sz w:val="20"/>
              </w:rPr>
            </w:pPr>
          </w:p>
          <w:p>
            <w:pPr>
              <w:pStyle w:val="TableParagraph"/>
              <w:spacing w:before="162"/>
              <w:ind w:left="113"/>
              <w:rPr>
                <w:b/>
                <w:sz w:val="18"/>
              </w:rPr>
            </w:pPr>
            <w:r>
              <w:rPr>
                <w:color w:val="231F20"/>
                <w:sz w:val="18"/>
              </w:rPr>
              <w:t>Annual tree </w:t>
            </w:r>
            <w:r>
              <w:rPr>
                <w:b/>
                <w:color w:val="231F20"/>
                <w:sz w:val="18"/>
              </w:rPr>
              <w:t>planting executed</w:t>
            </w:r>
          </w:p>
        </w:tc>
        <w:tc>
          <w:tcPr>
            <w:tcW w:w="850" w:type="dxa"/>
          </w:tcPr>
          <w:p>
            <w:pPr>
              <w:pStyle w:val="TableParagraph"/>
              <w:rPr>
                <w:sz w:val="26"/>
              </w:rPr>
            </w:pPr>
          </w:p>
          <w:p>
            <w:pPr>
              <w:pStyle w:val="TableParagraph"/>
              <w:spacing w:before="11"/>
              <w:rPr>
                <w:sz w:val="23"/>
              </w:rPr>
            </w:pPr>
          </w:p>
          <w:p>
            <w:pPr>
              <w:pStyle w:val="TableParagraph"/>
              <w:ind w:left="5"/>
              <w:jc w:val="center"/>
              <w:rPr>
                <w:rFonts w:ascii="Arial"/>
                <w:sz w:val="24"/>
              </w:rPr>
            </w:pPr>
            <w:r>
              <w:rPr>
                <w:rFonts w:ascii="Arial"/>
                <w:color w:val="1BB78D"/>
                <w:w w:val="336"/>
                <w:sz w:val="24"/>
              </w:rPr>
              <w:t>l</w:t>
            </w:r>
          </w:p>
        </w:tc>
      </w:tr>
      <w:tr>
        <w:trPr>
          <w:trHeight w:val="335" w:hRule="atLeast"/>
        </w:trPr>
        <w:tc>
          <w:tcPr>
            <w:tcW w:w="567" w:type="dxa"/>
          </w:tcPr>
          <w:p>
            <w:pPr>
              <w:pStyle w:val="TableParagraph"/>
              <w:spacing w:before="83"/>
              <w:ind w:left="98" w:right="94"/>
              <w:jc w:val="center"/>
              <w:rPr>
                <w:b/>
                <w:sz w:val="18"/>
              </w:rPr>
            </w:pPr>
            <w:r>
              <w:rPr>
                <w:b/>
                <w:color w:val="231F20"/>
                <w:sz w:val="18"/>
              </w:rPr>
              <w:t>2.1.2</w:t>
            </w:r>
          </w:p>
        </w:tc>
        <w:tc>
          <w:tcPr>
            <w:tcW w:w="850" w:type="dxa"/>
          </w:tcPr>
          <w:p>
            <w:pPr>
              <w:pStyle w:val="TableParagraph"/>
              <w:spacing w:before="83"/>
              <w:ind w:left="114" w:right="107"/>
              <w:jc w:val="center"/>
              <w:rPr>
                <w:b/>
                <w:sz w:val="18"/>
              </w:rPr>
            </w:pPr>
            <w:r>
              <w:rPr>
                <w:b/>
                <w:color w:val="231F20"/>
                <w:sz w:val="18"/>
              </w:rPr>
              <w:t>MP</w:t>
            </w:r>
          </w:p>
        </w:tc>
        <w:tc>
          <w:tcPr>
            <w:tcW w:w="3966" w:type="dxa"/>
          </w:tcPr>
          <w:p>
            <w:pPr>
              <w:pStyle w:val="TableParagraph"/>
              <w:spacing w:before="83"/>
              <w:ind w:left="113"/>
              <w:rPr>
                <w:b/>
                <w:sz w:val="18"/>
              </w:rPr>
            </w:pPr>
            <w:r>
              <w:rPr>
                <w:b/>
                <w:color w:val="231F20"/>
                <w:sz w:val="18"/>
              </w:rPr>
              <w:t>Capital tree planting programs</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1242"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numPr>
                <w:ilvl w:val="0"/>
                <w:numId w:val="17"/>
              </w:numPr>
              <w:tabs>
                <w:tab w:pos="284" w:val="left" w:leader="none"/>
              </w:tabs>
              <w:spacing w:line="230" w:lineRule="auto" w:before="84" w:after="0"/>
              <w:ind w:left="283" w:right="1008" w:hanging="170"/>
              <w:jc w:val="left"/>
              <w:rPr>
                <w:sz w:val="18"/>
              </w:rPr>
            </w:pPr>
            <w:r>
              <w:rPr>
                <w:color w:val="231F20"/>
                <w:sz w:val="18"/>
              </w:rPr>
              <w:t>Undertake capital tree planting programs (Streets &amp; Parks)</w:t>
            </w:r>
          </w:p>
          <w:p>
            <w:pPr>
              <w:pStyle w:val="TableParagraph"/>
              <w:numPr>
                <w:ilvl w:val="0"/>
                <w:numId w:val="17"/>
              </w:numPr>
              <w:tabs>
                <w:tab w:pos="284" w:val="left" w:leader="none"/>
              </w:tabs>
              <w:spacing w:line="230" w:lineRule="auto" w:before="47" w:after="0"/>
              <w:ind w:left="283" w:right="479" w:hanging="170"/>
              <w:jc w:val="left"/>
              <w:rPr>
                <w:sz w:val="18"/>
              </w:rPr>
            </w:pPr>
            <w:r>
              <w:rPr>
                <w:color w:val="231F20"/>
                <w:spacing w:val="-9"/>
                <w:sz w:val="18"/>
              </w:rPr>
              <w:t>To </w:t>
            </w:r>
            <w:r>
              <w:rPr>
                <w:color w:val="231F20"/>
                <w:sz w:val="18"/>
              </w:rPr>
              <w:t>implement canopy increase strategies </w:t>
            </w:r>
            <w:r>
              <w:rPr>
                <w:color w:val="231F20"/>
                <w:spacing w:val="-4"/>
                <w:sz w:val="18"/>
              </w:rPr>
              <w:t>(STMP, </w:t>
            </w:r>
            <w:r>
              <w:rPr>
                <w:color w:val="231F20"/>
                <w:sz w:val="18"/>
              </w:rPr>
              <w:t>Biodiversity Strategy, park amenity tree forward planting</w:t>
            </w:r>
            <w:r>
              <w:rPr>
                <w:color w:val="231F20"/>
                <w:spacing w:val="-2"/>
                <w:sz w:val="18"/>
              </w:rPr>
              <w:t> </w:t>
            </w:r>
            <w:r>
              <w:rPr>
                <w:color w:val="231F20"/>
                <w:sz w:val="18"/>
              </w:rPr>
              <w:t>etc)</w:t>
            </w:r>
          </w:p>
        </w:tc>
        <w:tc>
          <w:tcPr>
            <w:tcW w:w="4252" w:type="dxa"/>
          </w:tcPr>
          <w:p>
            <w:pPr>
              <w:pStyle w:val="TableParagraph"/>
              <w:rPr>
                <w:sz w:val="20"/>
              </w:rPr>
            </w:pPr>
          </w:p>
          <w:p>
            <w:pPr>
              <w:pStyle w:val="TableParagraph"/>
              <w:spacing w:before="8"/>
              <w:rPr>
                <w:sz w:val="26"/>
              </w:rPr>
            </w:pPr>
          </w:p>
          <w:p>
            <w:pPr>
              <w:pStyle w:val="TableParagraph"/>
              <w:spacing w:before="1"/>
              <w:ind w:left="113"/>
              <w:rPr>
                <w:b/>
                <w:sz w:val="18"/>
              </w:rPr>
            </w:pPr>
            <w:r>
              <w:rPr>
                <w:color w:val="231F20"/>
                <w:sz w:val="18"/>
              </w:rPr>
              <w:t>Infrastructure Capital Works tree </w:t>
            </w:r>
            <w:r>
              <w:rPr>
                <w:b/>
                <w:color w:val="231F20"/>
                <w:sz w:val="18"/>
              </w:rPr>
              <w:t>planting executed</w:t>
            </w:r>
          </w:p>
        </w:tc>
        <w:tc>
          <w:tcPr>
            <w:tcW w:w="850" w:type="dxa"/>
          </w:tcPr>
          <w:p>
            <w:pPr>
              <w:pStyle w:val="TableParagraph"/>
              <w:rPr>
                <w:sz w:val="26"/>
              </w:rPr>
            </w:pPr>
          </w:p>
          <w:p>
            <w:pPr>
              <w:pStyle w:val="TableParagraph"/>
              <w:spacing w:before="185"/>
              <w:ind w:left="5"/>
              <w:jc w:val="center"/>
              <w:rPr>
                <w:rFonts w:ascii="Arial" w:hAnsi="Arial"/>
                <w:b/>
                <w:sz w:val="24"/>
              </w:rPr>
            </w:pPr>
            <w:r>
              <w:rPr>
                <w:rFonts w:ascii="Arial" w:hAnsi="Arial"/>
                <w:b/>
                <w:color w:val="D34D49"/>
                <w:sz w:val="24"/>
              </w:rPr>
              <w:t>■</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rPr>
                <w:rFonts w:ascii="Times New Roman"/>
                <w:sz w:val="18"/>
              </w:rPr>
            </w:pPr>
          </w:p>
        </w:tc>
        <w:tc>
          <w:tcPr>
            <w:tcW w:w="4252" w:type="dxa"/>
          </w:tcPr>
          <w:p>
            <w:pPr>
              <w:pStyle w:val="TableParagraph"/>
              <w:spacing w:line="232" w:lineRule="auto" w:before="83"/>
              <w:ind w:left="113"/>
              <w:rPr>
                <w:b/>
                <w:sz w:val="18"/>
              </w:rPr>
            </w:pPr>
            <w:r>
              <w:rPr>
                <w:color w:val="231F20"/>
                <w:sz w:val="18"/>
              </w:rPr>
              <w:t>Biodiversity Tree planting in co-ordination with Environmental Services Biodiversity and habitat </w:t>
            </w:r>
            <w:r>
              <w:rPr>
                <w:b/>
                <w:color w:val="231F20"/>
                <w:sz w:val="18"/>
              </w:rPr>
              <w:t>planting</w:t>
            </w:r>
          </w:p>
        </w:tc>
        <w:tc>
          <w:tcPr>
            <w:tcW w:w="850" w:type="dxa"/>
          </w:tcPr>
          <w:p>
            <w:pPr>
              <w:pStyle w:val="TableParagraph"/>
              <w:spacing w:before="148"/>
              <w:ind w:left="5"/>
              <w:jc w:val="center"/>
              <w:rPr>
                <w:rFonts w:ascii="Arial"/>
                <w:sz w:val="24"/>
              </w:rPr>
            </w:pPr>
            <w:r>
              <w:rPr>
                <w:rFonts w:ascii="Arial"/>
                <w:color w:val="FDB933"/>
                <w:w w:val="268"/>
                <w:sz w:val="24"/>
              </w:rPr>
              <w:t>t</w:t>
            </w:r>
          </w:p>
        </w:tc>
      </w:tr>
      <w:tr>
        <w:trPr>
          <w:trHeight w:val="335" w:hRule="atLeast"/>
        </w:trPr>
        <w:tc>
          <w:tcPr>
            <w:tcW w:w="567" w:type="dxa"/>
          </w:tcPr>
          <w:p>
            <w:pPr>
              <w:pStyle w:val="TableParagraph"/>
              <w:spacing w:before="83"/>
              <w:ind w:left="98" w:right="94"/>
              <w:jc w:val="center"/>
              <w:rPr>
                <w:b/>
                <w:sz w:val="18"/>
              </w:rPr>
            </w:pPr>
            <w:r>
              <w:rPr>
                <w:b/>
                <w:color w:val="231F20"/>
                <w:sz w:val="18"/>
              </w:rPr>
              <w:t>2.1.3</w:t>
            </w:r>
          </w:p>
        </w:tc>
        <w:tc>
          <w:tcPr>
            <w:tcW w:w="850" w:type="dxa"/>
          </w:tcPr>
          <w:p>
            <w:pPr>
              <w:pStyle w:val="TableParagraph"/>
              <w:spacing w:before="83"/>
              <w:ind w:left="114" w:right="107"/>
              <w:jc w:val="center"/>
              <w:rPr>
                <w:b/>
                <w:sz w:val="18"/>
              </w:rPr>
            </w:pPr>
            <w:r>
              <w:rPr>
                <w:b/>
                <w:color w:val="231F20"/>
                <w:sz w:val="18"/>
              </w:rPr>
              <w:t>MP</w:t>
            </w:r>
          </w:p>
        </w:tc>
        <w:tc>
          <w:tcPr>
            <w:tcW w:w="3966" w:type="dxa"/>
          </w:tcPr>
          <w:p>
            <w:pPr>
              <w:pStyle w:val="TableParagraph"/>
              <w:spacing w:before="83"/>
              <w:ind w:left="113"/>
              <w:rPr>
                <w:b/>
                <w:sz w:val="18"/>
              </w:rPr>
            </w:pPr>
            <w:r>
              <w:rPr>
                <w:b/>
                <w:color w:val="231F20"/>
                <w:sz w:val="18"/>
              </w:rPr>
              <w:t>Trees on Council’s Operational and Lease Land</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169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numPr>
                <w:ilvl w:val="0"/>
                <w:numId w:val="18"/>
              </w:numPr>
              <w:tabs>
                <w:tab w:pos="284" w:val="left" w:leader="none"/>
              </w:tabs>
              <w:spacing w:line="230" w:lineRule="auto" w:before="111" w:after="0"/>
              <w:ind w:left="283" w:right="204" w:hanging="170"/>
              <w:jc w:val="left"/>
              <w:rPr>
                <w:sz w:val="18"/>
              </w:rPr>
            </w:pPr>
            <w:r>
              <w:rPr>
                <w:color w:val="231F20"/>
                <w:sz w:val="18"/>
              </w:rPr>
              <w:t>Prepare lifecycle management, replacement and embellishment plans Council’s Operational Land </w:t>
            </w:r>
            <w:r>
              <w:rPr>
                <w:color w:val="231F20"/>
                <w:spacing w:val="-4"/>
                <w:sz w:val="18"/>
              </w:rPr>
              <w:t>(Town </w:t>
            </w:r>
            <w:r>
              <w:rPr>
                <w:color w:val="231F20"/>
                <w:sz w:val="18"/>
              </w:rPr>
              <w:t>Halls, Libraries, Child Care Centres, pools</w:t>
            </w:r>
            <w:r>
              <w:rPr>
                <w:color w:val="231F20"/>
                <w:spacing w:val="-14"/>
                <w:sz w:val="18"/>
              </w:rPr>
              <w:t> </w:t>
            </w:r>
            <w:r>
              <w:rPr>
                <w:color w:val="231F20"/>
                <w:sz w:val="18"/>
              </w:rPr>
              <w:t>etc)</w:t>
            </w:r>
          </w:p>
          <w:p>
            <w:pPr>
              <w:pStyle w:val="TableParagraph"/>
              <w:numPr>
                <w:ilvl w:val="0"/>
                <w:numId w:val="18"/>
              </w:numPr>
              <w:tabs>
                <w:tab w:pos="284" w:val="left" w:leader="none"/>
              </w:tabs>
              <w:spacing w:line="232" w:lineRule="auto" w:before="47" w:after="0"/>
              <w:ind w:left="283" w:right="114" w:hanging="170"/>
              <w:jc w:val="left"/>
              <w:rPr>
                <w:sz w:val="18"/>
              </w:rPr>
            </w:pPr>
            <w:r>
              <w:rPr>
                <w:color w:val="231F20"/>
                <w:spacing w:val="-9"/>
                <w:sz w:val="18"/>
              </w:rPr>
              <w:t>To </w:t>
            </w:r>
            <w:r>
              <w:rPr>
                <w:color w:val="231F20"/>
                <w:sz w:val="18"/>
              </w:rPr>
              <w:t>identify scope and resources required for sustainable management of Council’s Urban Forest tree assets and opportunities to increase Urban Forest canopy over</w:t>
            </w:r>
            <w:r>
              <w:rPr>
                <w:color w:val="231F20"/>
                <w:spacing w:val="-3"/>
                <w:sz w:val="18"/>
              </w:rPr>
              <w:t> </w:t>
            </w:r>
            <w:r>
              <w:rPr>
                <w:color w:val="231F20"/>
                <w:sz w:val="18"/>
              </w:rPr>
              <w:t>time</w:t>
            </w:r>
          </w:p>
        </w:tc>
        <w:tc>
          <w:tcPr>
            <w:tcW w:w="4252" w:type="dxa"/>
          </w:tcPr>
          <w:p>
            <w:pPr>
              <w:pStyle w:val="TableParagraph"/>
              <w:rPr>
                <w:sz w:val="20"/>
              </w:rPr>
            </w:pPr>
          </w:p>
          <w:p>
            <w:pPr>
              <w:pStyle w:val="TableParagraph"/>
              <w:rPr>
                <w:sz w:val="20"/>
              </w:rPr>
            </w:pPr>
          </w:p>
          <w:p>
            <w:pPr>
              <w:pStyle w:val="TableParagraph"/>
              <w:spacing w:before="6"/>
              <w:rPr>
                <w:sz w:val="26"/>
              </w:rPr>
            </w:pPr>
          </w:p>
          <w:p>
            <w:pPr>
              <w:pStyle w:val="TableParagraph"/>
              <w:ind w:left="113"/>
              <w:rPr>
                <w:b/>
                <w:sz w:val="18"/>
              </w:rPr>
            </w:pPr>
            <w:r>
              <w:rPr>
                <w:color w:val="231F20"/>
                <w:sz w:val="18"/>
              </w:rPr>
              <w:t>Lifecycle Management </w:t>
            </w:r>
            <w:r>
              <w:rPr>
                <w:b/>
                <w:color w:val="231F20"/>
                <w:sz w:val="18"/>
              </w:rPr>
              <w:t>Plan Prepared</w:t>
            </w:r>
          </w:p>
        </w:tc>
        <w:tc>
          <w:tcPr>
            <w:tcW w:w="850" w:type="dxa"/>
          </w:tcPr>
          <w:p>
            <w:pPr>
              <w:pStyle w:val="TableParagraph"/>
              <w:rPr>
                <w:sz w:val="26"/>
              </w:rPr>
            </w:pPr>
          </w:p>
          <w:p>
            <w:pPr>
              <w:pStyle w:val="TableParagraph"/>
              <w:spacing w:before="3"/>
              <w:rPr>
                <w:sz w:val="36"/>
              </w:rPr>
            </w:pPr>
          </w:p>
          <w:p>
            <w:pPr>
              <w:pStyle w:val="TableParagraph"/>
              <w:spacing w:before="1"/>
              <w:ind w:left="5"/>
              <w:jc w:val="center"/>
              <w:rPr>
                <w:rFonts w:ascii="Arial"/>
                <w:sz w:val="24"/>
              </w:rPr>
            </w:pPr>
            <w:r>
              <w:rPr>
                <w:rFonts w:ascii="Arial"/>
                <w:color w:val="FDB933"/>
                <w:w w:val="268"/>
                <w:sz w:val="24"/>
              </w:rPr>
              <w:t>t</w:t>
            </w:r>
          </w:p>
        </w:tc>
      </w:tr>
      <w:tr>
        <w:trPr>
          <w:trHeight w:val="1128"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numPr>
                <w:ilvl w:val="0"/>
                <w:numId w:val="19"/>
              </w:numPr>
              <w:tabs>
                <w:tab w:pos="284" w:val="left" w:leader="none"/>
              </w:tabs>
              <w:spacing w:line="230" w:lineRule="auto" w:before="28" w:after="0"/>
              <w:ind w:left="283" w:right="511" w:hanging="170"/>
              <w:jc w:val="both"/>
              <w:rPr>
                <w:sz w:val="18"/>
              </w:rPr>
            </w:pPr>
            <w:r>
              <w:rPr>
                <w:color w:val="231F20"/>
                <w:sz w:val="18"/>
              </w:rPr>
              <w:t>Review annual Operating Budget allocations for maintenance</w:t>
            </w:r>
            <w:r>
              <w:rPr>
                <w:color w:val="231F20"/>
                <w:spacing w:val="-6"/>
                <w:sz w:val="18"/>
              </w:rPr>
              <w:t> </w:t>
            </w:r>
            <w:r>
              <w:rPr>
                <w:color w:val="231F20"/>
                <w:sz w:val="18"/>
              </w:rPr>
              <w:t>of</w:t>
            </w:r>
            <w:r>
              <w:rPr>
                <w:color w:val="231F20"/>
                <w:spacing w:val="-6"/>
                <w:sz w:val="18"/>
              </w:rPr>
              <w:t> </w:t>
            </w:r>
            <w:r>
              <w:rPr>
                <w:color w:val="231F20"/>
                <w:sz w:val="18"/>
              </w:rPr>
              <w:t>trees</w:t>
            </w:r>
            <w:r>
              <w:rPr>
                <w:color w:val="231F20"/>
                <w:spacing w:val="-6"/>
                <w:sz w:val="18"/>
              </w:rPr>
              <w:t> </w:t>
            </w:r>
            <w:r>
              <w:rPr>
                <w:color w:val="231F20"/>
                <w:sz w:val="18"/>
              </w:rPr>
              <w:t>on</w:t>
            </w:r>
            <w:r>
              <w:rPr>
                <w:color w:val="231F20"/>
                <w:spacing w:val="-6"/>
                <w:sz w:val="18"/>
              </w:rPr>
              <w:t> </w:t>
            </w:r>
            <w:r>
              <w:rPr>
                <w:color w:val="231F20"/>
                <w:sz w:val="18"/>
              </w:rPr>
              <w:t>Council’s</w:t>
            </w:r>
            <w:r>
              <w:rPr>
                <w:color w:val="231F20"/>
                <w:spacing w:val="-6"/>
                <w:sz w:val="18"/>
              </w:rPr>
              <w:t> </w:t>
            </w:r>
            <w:r>
              <w:rPr>
                <w:color w:val="231F20"/>
                <w:sz w:val="18"/>
              </w:rPr>
              <w:t>Operational</w:t>
            </w:r>
            <w:r>
              <w:rPr>
                <w:color w:val="231F20"/>
                <w:spacing w:val="-6"/>
                <w:sz w:val="18"/>
              </w:rPr>
              <w:t> </w:t>
            </w:r>
            <w:r>
              <w:rPr>
                <w:color w:val="231F20"/>
                <w:sz w:val="18"/>
              </w:rPr>
              <w:t>&amp; Lease</w:t>
            </w:r>
            <w:r>
              <w:rPr>
                <w:color w:val="231F20"/>
                <w:spacing w:val="-2"/>
                <w:sz w:val="18"/>
              </w:rPr>
              <w:t> </w:t>
            </w:r>
            <w:r>
              <w:rPr>
                <w:color w:val="231F20"/>
                <w:sz w:val="18"/>
              </w:rPr>
              <w:t>Land.</w:t>
            </w:r>
          </w:p>
          <w:p>
            <w:pPr>
              <w:pStyle w:val="TableParagraph"/>
              <w:numPr>
                <w:ilvl w:val="0"/>
                <w:numId w:val="19"/>
              </w:numPr>
              <w:tabs>
                <w:tab w:pos="284" w:val="left" w:leader="none"/>
              </w:tabs>
              <w:spacing w:line="230" w:lineRule="auto" w:before="48" w:after="0"/>
              <w:ind w:left="283" w:right="417" w:hanging="170"/>
              <w:jc w:val="both"/>
              <w:rPr>
                <w:sz w:val="18"/>
              </w:rPr>
            </w:pPr>
            <w:r>
              <w:rPr>
                <w:color w:val="231F20"/>
                <w:spacing w:val="-9"/>
                <w:sz w:val="18"/>
              </w:rPr>
              <w:t>To </w:t>
            </w:r>
            <w:r>
              <w:rPr>
                <w:color w:val="231F20"/>
                <w:sz w:val="18"/>
              </w:rPr>
              <w:t>ensure adequate resources for maintenance of trees on Council’s Operational and Lease</w:t>
            </w:r>
            <w:r>
              <w:rPr>
                <w:color w:val="231F20"/>
                <w:spacing w:val="-21"/>
                <w:sz w:val="18"/>
              </w:rPr>
              <w:t> </w:t>
            </w:r>
            <w:r>
              <w:rPr>
                <w:color w:val="231F20"/>
                <w:sz w:val="18"/>
              </w:rPr>
              <w:t>Land</w:t>
            </w:r>
          </w:p>
        </w:tc>
        <w:tc>
          <w:tcPr>
            <w:tcW w:w="4252" w:type="dxa"/>
          </w:tcPr>
          <w:p>
            <w:pPr>
              <w:pStyle w:val="TableParagraph"/>
              <w:rPr>
                <w:sz w:val="20"/>
              </w:rPr>
            </w:pPr>
          </w:p>
          <w:p>
            <w:pPr>
              <w:pStyle w:val="TableParagraph"/>
              <w:spacing w:before="9"/>
              <w:rPr>
                <w:sz w:val="21"/>
              </w:rPr>
            </w:pPr>
          </w:p>
          <w:p>
            <w:pPr>
              <w:pStyle w:val="TableParagraph"/>
              <w:ind w:left="113"/>
              <w:rPr>
                <w:b/>
                <w:sz w:val="18"/>
              </w:rPr>
            </w:pPr>
            <w:r>
              <w:rPr>
                <w:color w:val="231F20"/>
                <w:sz w:val="18"/>
              </w:rPr>
              <w:t>Annual Budget Allocations </w:t>
            </w:r>
            <w:r>
              <w:rPr>
                <w:b/>
                <w:color w:val="231F20"/>
                <w:sz w:val="18"/>
              </w:rPr>
              <w:t>Reviewed</w:t>
            </w:r>
          </w:p>
        </w:tc>
        <w:tc>
          <w:tcPr>
            <w:tcW w:w="850" w:type="dxa"/>
          </w:tcPr>
          <w:p>
            <w:pPr>
              <w:pStyle w:val="TableParagraph"/>
              <w:spacing w:before="7"/>
              <w:rPr>
                <w:sz w:val="37"/>
              </w:rPr>
            </w:pPr>
          </w:p>
          <w:p>
            <w:pPr>
              <w:pStyle w:val="TableParagraph"/>
              <w:ind w:left="5"/>
              <w:jc w:val="center"/>
              <w:rPr>
                <w:rFonts w:ascii="Arial"/>
                <w:sz w:val="24"/>
              </w:rPr>
            </w:pPr>
            <w:r>
              <w:rPr>
                <w:rFonts w:ascii="Arial"/>
                <w:color w:val="1BB78D"/>
                <w:w w:val="336"/>
                <w:sz w:val="24"/>
              </w:rPr>
              <w:t>l</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83"/>
              <w:ind w:left="113" w:right="20"/>
              <w:rPr>
                <w:sz w:val="18"/>
              </w:rPr>
            </w:pPr>
            <w:r>
              <w:rPr>
                <w:color w:val="231F20"/>
                <w:sz w:val="18"/>
              </w:rPr>
              <w:t>Capital programs to increase Urban Forest canopy around Council’s facilities</w:t>
            </w:r>
          </w:p>
        </w:tc>
        <w:tc>
          <w:tcPr>
            <w:tcW w:w="4252" w:type="dxa"/>
          </w:tcPr>
          <w:p>
            <w:pPr>
              <w:pStyle w:val="TableParagraph"/>
              <w:spacing w:before="1"/>
              <w:rPr>
                <w:sz w:val="17"/>
              </w:rPr>
            </w:pPr>
          </w:p>
          <w:p>
            <w:pPr>
              <w:pStyle w:val="TableParagraph"/>
              <w:ind w:left="113"/>
              <w:rPr>
                <w:sz w:val="18"/>
              </w:rPr>
            </w:pPr>
            <w:r>
              <w:rPr>
                <w:color w:val="231F20"/>
                <w:sz w:val="18"/>
              </w:rPr>
              <w:t>Carry out </w:t>
            </w:r>
            <w:r>
              <w:rPr>
                <w:b/>
                <w:color w:val="231F20"/>
                <w:sz w:val="18"/>
              </w:rPr>
              <w:t>Capital Work</w:t>
            </w:r>
            <w:r>
              <w:rPr>
                <w:color w:val="231F20"/>
                <w:sz w:val="18"/>
              </w:rPr>
              <w:t>s</w:t>
            </w:r>
          </w:p>
        </w:tc>
        <w:tc>
          <w:tcPr>
            <w:tcW w:w="850" w:type="dxa"/>
          </w:tcPr>
          <w:p>
            <w:pPr>
              <w:pStyle w:val="TableParagraph"/>
              <w:spacing w:before="143"/>
              <w:ind w:left="5"/>
              <w:jc w:val="center"/>
              <w:rPr>
                <w:rFonts w:ascii="Arial" w:hAnsi="Arial"/>
                <w:b/>
                <w:sz w:val="24"/>
              </w:rPr>
            </w:pPr>
            <w:r>
              <w:rPr>
                <w:rFonts w:ascii="Arial" w:hAnsi="Arial"/>
                <w:b/>
                <w:color w:val="D34D49"/>
                <w:sz w:val="24"/>
              </w:rPr>
              <w:t>■</w:t>
            </w:r>
          </w:p>
        </w:tc>
      </w:tr>
    </w:tbl>
    <w:p>
      <w:pPr>
        <w:spacing w:after="0"/>
        <w:jc w:val="center"/>
        <w:rPr>
          <w:rFonts w:ascii="Arial" w:hAnsi="Arial"/>
          <w:sz w:val="24"/>
        </w:rPr>
        <w:sectPr>
          <w:pgSz w:w="11910" w:h="16840"/>
          <w:pgMar w:header="0" w:footer="779" w:top="540" w:bottom="960" w:left="460" w:right="440"/>
        </w:sectPr>
      </w:pPr>
    </w:p>
    <w:p>
      <w:pPr>
        <w:pStyle w:val="BodyText"/>
        <w:ind w:left="387"/>
        <w:rPr>
          <w:sz w:val="20"/>
        </w:rPr>
      </w:pPr>
      <w:r>
        <w:rPr>
          <w:sz w:val="20"/>
        </w:rPr>
        <w:pict>
          <v:group style="width:524.450pt;height:77.25pt;mso-position-horizontal-relative:char;mso-position-vertical-relative:line" coordorigin="0,0" coordsize="10489,1545">
            <v:line style="position:absolute" from="10488,1491" to="0,1491" stroked="true" strokeweight=".25pt" strokecolor="#808285">
              <v:stroke dashstyle="solid"/>
            </v:line>
            <v:line style="position:absolute" from="7092,0" to="7092,1501" stroked="true" strokeweight=".25pt" strokecolor="#808285">
              <v:stroke dashstyle="solid"/>
            </v:line>
            <v:shape style="position:absolute;left:7379;top:442;width:3016;height:1102" type="#_x0000_t202" filled="false" stroked="false">
              <v:textbox inset="0,0,0,0">
                <w:txbxContent>
                  <w:p>
                    <w:pPr>
                      <w:spacing w:line="1100" w:lineRule="exact" w:before="0"/>
                      <w:ind w:left="0" w:right="0" w:firstLine="0"/>
                      <w:jc w:val="left"/>
                      <w:rPr>
                        <w:b/>
                        <w:sz w:val="96"/>
                      </w:rPr>
                    </w:pPr>
                    <w:r>
                      <w:rPr>
                        <w:b/>
                        <w:i/>
                        <w:color w:val="231F20"/>
                        <w:sz w:val="24"/>
                      </w:rPr>
                      <w:t>Urban Forest Strategy </w:t>
                    </w:r>
                    <w:r>
                      <w:rPr>
                        <w:b/>
                        <w:color w:val="808285"/>
                        <w:sz w:val="96"/>
                      </w:rPr>
                      <w:t>4</w:t>
                    </w:r>
                  </w:p>
                </w:txbxContent>
              </v:textbox>
              <w10:wrap type="none"/>
            </v:shape>
            <v:shape style="position:absolute;left:7760;top:816;width:1907;height:276" type="#_x0000_t202" filled="false" stroked="false">
              <v:textbox inset="0,0,0,0">
                <w:txbxContent>
                  <w:p>
                    <w:pPr>
                      <w:spacing w:line="275" w:lineRule="exact" w:before="0"/>
                      <w:ind w:left="0" w:right="0" w:firstLine="0"/>
                      <w:jc w:val="left"/>
                      <w:rPr>
                        <w:i/>
                        <w:sz w:val="24"/>
                      </w:rPr>
                    </w:pPr>
                    <w:r>
                      <w:rPr>
                        <w:i/>
                        <w:color w:val="231F20"/>
                        <w:sz w:val="24"/>
                      </w:rPr>
                      <w:t>Marrickville Council</w:t>
                    </w:r>
                  </w:p>
                </w:txbxContent>
              </v:textbox>
              <w10:wrap type="none"/>
            </v:shape>
          </v:group>
        </w:pict>
      </w:r>
      <w:r>
        <w:rPr>
          <w:sz w:val="20"/>
        </w:rPr>
      </w:r>
    </w:p>
    <w:p>
      <w:pPr>
        <w:pStyle w:val="BodyText"/>
        <w:spacing w:before="8"/>
        <w:rPr>
          <w:sz w:val="29"/>
        </w:rPr>
      </w:pPr>
    </w:p>
    <w:tbl>
      <w:tblPr>
        <w:tblW w:w="0" w:type="auto"/>
        <w:jc w:val="left"/>
        <w:tblInd w:w="3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850"/>
        <w:gridCol w:w="3966"/>
        <w:gridCol w:w="4252"/>
        <w:gridCol w:w="850"/>
      </w:tblGrid>
      <w:tr>
        <w:trPr>
          <w:trHeight w:val="448" w:hRule="atLeast"/>
        </w:trPr>
        <w:tc>
          <w:tcPr>
            <w:tcW w:w="567" w:type="dxa"/>
          </w:tcPr>
          <w:p>
            <w:pPr>
              <w:pStyle w:val="TableParagraph"/>
              <w:spacing w:before="140"/>
              <w:ind w:left="164"/>
              <w:rPr>
                <w:b/>
                <w:sz w:val="18"/>
              </w:rPr>
            </w:pPr>
            <w:r>
              <w:rPr>
                <w:b/>
                <w:color w:val="231F20"/>
                <w:sz w:val="18"/>
              </w:rPr>
              <w:t>No.</w:t>
            </w:r>
          </w:p>
        </w:tc>
        <w:tc>
          <w:tcPr>
            <w:tcW w:w="850" w:type="dxa"/>
          </w:tcPr>
          <w:p>
            <w:pPr>
              <w:pStyle w:val="TableParagraph"/>
              <w:spacing w:before="140"/>
              <w:ind w:left="113" w:right="108"/>
              <w:jc w:val="center"/>
              <w:rPr>
                <w:b/>
                <w:sz w:val="18"/>
              </w:rPr>
            </w:pPr>
            <w:r>
              <w:rPr>
                <w:b/>
                <w:color w:val="231F20"/>
                <w:sz w:val="18"/>
              </w:rPr>
              <w:t>Priority</w:t>
            </w:r>
          </w:p>
        </w:tc>
        <w:tc>
          <w:tcPr>
            <w:tcW w:w="3966" w:type="dxa"/>
          </w:tcPr>
          <w:p>
            <w:pPr>
              <w:pStyle w:val="TableParagraph"/>
              <w:spacing w:before="140"/>
              <w:ind w:left="1692" w:right="1687"/>
              <w:jc w:val="center"/>
              <w:rPr>
                <w:b/>
                <w:sz w:val="18"/>
              </w:rPr>
            </w:pPr>
            <w:r>
              <w:rPr>
                <w:b/>
                <w:color w:val="231F20"/>
                <w:sz w:val="18"/>
              </w:rPr>
              <w:t>Actions</w:t>
            </w:r>
          </w:p>
        </w:tc>
        <w:tc>
          <w:tcPr>
            <w:tcW w:w="4252" w:type="dxa"/>
          </w:tcPr>
          <w:p>
            <w:pPr>
              <w:pStyle w:val="TableParagraph"/>
              <w:spacing w:before="140"/>
              <w:ind w:left="1786" w:right="1781"/>
              <w:jc w:val="center"/>
              <w:rPr>
                <w:b/>
                <w:sz w:val="18"/>
              </w:rPr>
            </w:pPr>
            <w:r>
              <w:rPr>
                <w:b/>
                <w:color w:val="231F20"/>
                <w:sz w:val="18"/>
              </w:rPr>
              <w:t>Outcome</w:t>
            </w:r>
          </w:p>
        </w:tc>
        <w:tc>
          <w:tcPr>
            <w:tcW w:w="850" w:type="dxa"/>
          </w:tcPr>
          <w:p>
            <w:pPr>
              <w:pStyle w:val="TableParagraph"/>
              <w:spacing w:before="140"/>
              <w:ind w:left="114" w:right="108"/>
              <w:jc w:val="center"/>
              <w:rPr>
                <w:b/>
                <w:sz w:val="18"/>
              </w:rPr>
            </w:pPr>
            <w:r>
              <w:rPr>
                <w:b/>
                <w:color w:val="231F20"/>
                <w:sz w:val="18"/>
              </w:rPr>
              <w:t>Funding</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HP</w:t>
            </w:r>
          </w:p>
        </w:tc>
        <w:tc>
          <w:tcPr>
            <w:tcW w:w="3966" w:type="dxa"/>
          </w:tcPr>
          <w:p>
            <w:pPr>
              <w:pStyle w:val="TableParagraph"/>
              <w:spacing w:line="183" w:lineRule="exact" w:before="19"/>
              <w:ind w:left="113"/>
              <w:rPr>
                <w:sz w:val="16"/>
              </w:rPr>
            </w:pPr>
            <w:r>
              <w:rPr>
                <w:color w:val="231F20"/>
                <w:sz w:val="16"/>
              </w:rPr>
              <w:t>High Priority</w:t>
            </w:r>
          </w:p>
        </w:tc>
        <w:tc>
          <w:tcPr>
            <w:tcW w:w="4252" w:type="dxa"/>
          </w:tcPr>
          <w:p>
            <w:pPr>
              <w:pStyle w:val="TableParagraph"/>
              <w:spacing w:line="183" w:lineRule="exact" w:before="19"/>
              <w:ind w:left="1032"/>
              <w:rPr>
                <w:sz w:val="16"/>
              </w:rPr>
            </w:pPr>
            <w:r>
              <w:rPr>
                <w:color w:val="231F20"/>
                <w:sz w:val="16"/>
              </w:rPr>
              <w:t>Require substantial additional funding</w:t>
            </w:r>
          </w:p>
        </w:tc>
        <w:tc>
          <w:tcPr>
            <w:tcW w:w="850" w:type="dxa"/>
          </w:tcPr>
          <w:p>
            <w:pPr>
              <w:pStyle w:val="TableParagraph"/>
              <w:spacing w:line="202" w:lineRule="exact"/>
              <w:ind w:left="5"/>
              <w:jc w:val="center"/>
              <w:rPr>
                <w:rFonts w:ascii="Arial" w:hAnsi="Arial"/>
                <w:b/>
                <w:sz w:val="24"/>
              </w:rPr>
            </w:pPr>
            <w:r>
              <w:rPr>
                <w:rFonts w:ascii="Arial" w:hAnsi="Arial"/>
                <w:b/>
                <w:color w:val="D34D49"/>
                <w:sz w:val="24"/>
              </w:rPr>
              <w:t>■</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MP</w:t>
            </w:r>
          </w:p>
        </w:tc>
        <w:tc>
          <w:tcPr>
            <w:tcW w:w="3966" w:type="dxa"/>
          </w:tcPr>
          <w:p>
            <w:pPr>
              <w:pStyle w:val="TableParagraph"/>
              <w:spacing w:line="183" w:lineRule="exact" w:before="19"/>
              <w:ind w:left="113"/>
              <w:rPr>
                <w:sz w:val="16"/>
              </w:rPr>
            </w:pPr>
            <w:r>
              <w:rPr>
                <w:color w:val="231F20"/>
                <w:sz w:val="16"/>
              </w:rPr>
              <w:t>Medium Priority</w:t>
            </w:r>
          </w:p>
        </w:tc>
        <w:tc>
          <w:tcPr>
            <w:tcW w:w="4252" w:type="dxa"/>
          </w:tcPr>
          <w:p>
            <w:pPr>
              <w:pStyle w:val="TableParagraph"/>
              <w:spacing w:line="183" w:lineRule="exact" w:before="19"/>
              <w:ind w:left="1163"/>
              <w:rPr>
                <w:sz w:val="16"/>
              </w:rPr>
            </w:pPr>
            <w:r>
              <w:rPr>
                <w:color w:val="231F20"/>
                <w:sz w:val="16"/>
              </w:rPr>
              <w:t>Some additional funding required</w:t>
            </w:r>
          </w:p>
        </w:tc>
        <w:tc>
          <w:tcPr>
            <w:tcW w:w="850" w:type="dxa"/>
          </w:tcPr>
          <w:p>
            <w:pPr>
              <w:pStyle w:val="TableParagraph"/>
              <w:spacing w:line="202" w:lineRule="exact"/>
              <w:ind w:left="5"/>
              <w:jc w:val="center"/>
              <w:rPr>
                <w:rFonts w:ascii="Arial"/>
                <w:sz w:val="24"/>
              </w:rPr>
            </w:pPr>
            <w:r>
              <w:rPr>
                <w:rFonts w:ascii="Arial"/>
                <w:color w:val="FDB933"/>
                <w:w w:val="268"/>
                <w:sz w:val="24"/>
              </w:rPr>
              <w:t>t</w:t>
            </w:r>
          </w:p>
        </w:tc>
      </w:tr>
      <w:tr>
        <w:trPr>
          <w:trHeight w:val="214" w:hRule="atLeast"/>
        </w:trPr>
        <w:tc>
          <w:tcPr>
            <w:tcW w:w="567" w:type="dxa"/>
            <w:tcBorders>
              <w:bottom w:val="single" w:sz="8" w:space="0" w:color="231F20"/>
            </w:tcBorders>
          </w:tcPr>
          <w:p>
            <w:pPr>
              <w:pStyle w:val="TableParagraph"/>
              <w:rPr>
                <w:rFonts w:ascii="Times New Roman"/>
                <w:sz w:val="14"/>
              </w:rPr>
            </w:pPr>
          </w:p>
        </w:tc>
        <w:tc>
          <w:tcPr>
            <w:tcW w:w="850" w:type="dxa"/>
            <w:tcBorders>
              <w:bottom w:val="single" w:sz="8" w:space="0" w:color="231F20"/>
            </w:tcBorders>
          </w:tcPr>
          <w:p>
            <w:pPr>
              <w:pStyle w:val="TableParagraph"/>
              <w:spacing w:line="172" w:lineRule="exact" w:before="22"/>
              <w:ind w:left="114" w:right="107"/>
              <w:jc w:val="center"/>
              <w:rPr>
                <w:b/>
                <w:sz w:val="18"/>
              </w:rPr>
            </w:pPr>
            <w:r>
              <w:rPr>
                <w:b/>
                <w:color w:val="231F20"/>
                <w:sz w:val="18"/>
              </w:rPr>
              <w:t>LP</w:t>
            </w:r>
          </w:p>
        </w:tc>
        <w:tc>
          <w:tcPr>
            <w:tcW w:w="3966" w:type="dxa"/>
            <w:tcBorders>
              <w:bottom w:val="single" w:sz="8" w:space="0" w:color="231F20"/>
            </w:tcBorders>
          </w:tcPr>
          <w:p>
            <w:pPr>
              <w:pStyle w:val="TableParagraph"/>
              <w:spacing w:line="179" w:lineRule="exact" w:before="15"/>
              <w:ind w:left="113"/>
              <w:rPr>
                <w:sz w:val="16"/>
              </w:rPr>
            </w:pPr>
            <w:r>
              <w:rPr>
                <w:color w:val="231F20"/>
                <w:sz w:val="16"/>
              </w:rPr>
              <w:t>Low Priority</w:t>
            </w:r>
          </w:p>
        </w:tc>
        <w:tc>
          <w:tcPr>
            <w:tcW w:w="4252" w:type="dxa"/>
            <w:tcBorders>
              <w:bottom w:val="single" w:sz="8" w:space="0" w:color="231F20"/>
            </w:tcBorders>
          </w:tcPr>
          <w:p>
            <w:pPr>
              <w:pStyle w:val="TableParagraph"/>
              <w:spacing w:line="179" w:lineRule="exact" w:before="15"/>
              <w:ind w:left="313"/>
              <w:rPr>
                <w:sz w:val="16"/>
              </w:rPr>
            </w:pPr>
            <w:r>
              <w:rPr>
                <w:color w:val="231F20"/>
                <w:sz w:val="16"/>
              </w:rPr>
              <w:t>Little / no additional funding required — use existing resources</w:t>
            </w:r>
          </w:p>
        </w:tc>
        <w:tc>
          <w:tcPr>
            <w:tcW w:w="850" w:type="dxa"/>
            <w:tcBorders>
              <w:bottom w:val="single" w:sz="8" w:space="0" w:color="231F20"/>
            </w:tcBorders>
          </w:tcPr>
          <w:p>
            <w:pPr>
              <w:pStyle w:val="TableParagraph"/>
              <w:spacing w:line="194" w:lineRule="exact"/>
              <w:ind w:left="5"/>
              <w:jc w:val="center"/>
              <w:rPr>
                <w:rFonts w:ascii="Arial"/>
                <w:sz w:val="24"/>
              </w:rPr>
            </w:pPr>
            <w:r>
              <w:rPr>
                <w:rFonts w:ascii="Arial"/>
                <w:color w:val="1BB78D"/>
                <w:w w:val="336"/>
                <w:sz w:val="24"/>
              </w:rPr>
              <w:t>l</w:t>
            </w:r>
          </w:p>
        </w:tc>
      </w:tr>
      <w:tr>
        <w:trPr>
          <w:trHeight w:val="561" w:hRule="atLeast"/>
        </w:trPr>
        <w:tc>
          <w:tcPr>
            <w:tcW w:w="567" w:type="dxa"/>
            <w:tcBorders>
              <w:top w:val="single" w:sz="8" w:space="0" w:color="231F20"/>
            </w:tcBorders>
          </w:tcPr>
          <w:p>
            <w:pPr>
              <w:pStyle w:val="TableParagraph"/>
              <w:spacing w:before="1"/>
              <w:rPr>
                <w:sz w:val="17"/>
              </w:rPr>
            </w:pPr>
          </w:p>
          <w:p>
            <w:pPr>
              <w:pStyle w:val="TableParagraph"/>
              <w:ind w:left="119"/>
              <w:rPr>
                <w:b/>
                <w:sz w:val="18"/>
              </w:rPr>
            </w:pPr>
            <w:r>
              <w:rPr>
                <w:b/>
                <w:color w:val="231F20"/>
                <w:sz w:val="18"/>
              </w:rPr>
              <w:t>2.1.4</w:t>
            </w:r>
          </w:p>
        </w:tc>
        <w:tc>
          <w:tcPr>
            <w:tcW w:w="850" w:type="dxa"/>
            <w:tcBorders>
              <w:top w:val="single" w:sz="8" w:space="0" w:color="231F20"/>
            </w:tcBorders>
          </w:tcPr>
          <w:p>
            <w:pPr>
              <w:pStyle w:val="TableParagraph"/>
              <w:spacing w:before="1"/>
              <w:rPr>
                <w:sz w:val="17"/>
              </w:rPr>
            </w:pPr>
          </w:p>
          <w:p>
            <w:pPr>
              <w:pStyle w:val="TableParagraph"/>
              <w:ind w:left="114" w:right="107"/>
              <w:jc w:val="center"/>
              <w:rPr>
                <w:b/>
                <w:sz w:val="18"/>
              </w:rPr>
            </w:pPr>
            <w:r>
              <w:rPr>
                <w:b/>
                <w:color w:val="231F20"/>
                <w:sz w:val="18"/>
              </w:rPr>
              <w:t>LP</w:t>
            </w:r>
          </w:p>
        </w:tc>
        <w:tc>
          <w:tcPr>
            <w:tcW w:w="3966" w:type="dxa"/>
            <w:tcBorders>
              <w:top w:val="single" w:sz="8" w:space="0" w:color="231F20"/>
            </w:tcBorders>
          </w:tcPr>
          <w:p>
            <w:pPr>
              <w:pStyle w:val="TableParagraph"/>
              <w:spacing w:line="232" w:lineRule="auto" w:before="101"/>
              <w:ind w:left="113" w:right="307"/>
              <w:rPr>
                <w:b/>
                <w:sz w:val="18"/>
              </w:rPr>
            </w:pPr>
            <w:r>
              <w:rPr>
                <w:b/>
                <w:color w:val="231F20"/>
                <w:sz w:val="18"/>
              </w:rPr>
              <w:t>Trees on lands such as State Govt. and “Not for Profit” Organisations</w:t>
            </w:r>
          </w:p>
        </w:tc>
        <w:tc>
          <w:tcPr>
            <w:tcW w:w="4252" w:type="dxa"/>
            <w:tcBorders>
              <w:top w:val="single" w:sz="8" w:space="0" w:color="231F20"/>
            </w:tcBorders>
          </w:tcPr>
          <w:p>
            <w:pPr>
              <w:pStyle w:val="TableParagraph"/>
              <w:rPr>
                <w:rFonts w:ascii="Times New Roman"/>
                <w:sz w:val="18"/>
              </w:rPr>
            </w:pPr>
          </w:p>
        </w:tc>
        <w:tc>
          <w:tcPr>
            <w:tcW w:w="850" w:type="dxa"/>
            <w:tcBorders>
              <w:top w:val="single" w:sz="8" w:space="0" w:color="231F20"/>
            </w:tcBorders>
          </w:tcPr>
          <w:p>
            <w:pPr>
              <w:pStyle w:val="TableParagraph"/>
              <w:rPr>
                <w:rFonts w:ascii="Times New Roman"/>
                <w:sz w:val="18"/>
              </w:rPr>
            </w:pP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09"/>
              <w:ind w:left="113" w:right="201"/>
              <w:rPr>
                <w:sz w:val="18"/>
              </w:rPr>
            </w:pPr>
            <w:r>
              <w:rPr>
                <w:color w:val="231F20"/>
                <w:sz w:val="18"/>
              </w:rPr>
              <w:t>Opportunities on State Govt. and “Not for Profit” Organisation’s land such as Churches, Schools etc to increase Urban Forest canopy over time communicated to relevant land owners.</w:t>
            </w:r>
          </w:p>
        </w:tc>
        <w:tc>
          <w:tcPr>
            <w:tcW w:w="4252" w:type="dxa"/>
          </w:tcPr>
          <w:p>
            <w:pPr>
              <w:pStyle w:val="TableParagraph"/>
              <w:rPr>
                <w:sz w:val="20"/>
              </w:rPr>
            </w:pPr>
          </w:p>
          <w:p>
            <w:pPr>
              <w:pStyle w:val="TableParagraph"/>
              <w:spacing w:before="10"/>
              <w:rPr>
                <w:sz w:val="16"/>
              </w:rPr>
            </w:pPr>
          </w:p>
          <w:p>
            <w:pPr>
              <w:pStyle w:val="TableParagraph"/>
              <w:ind w:left="113"/>
              <w:rPr>
                <w:sz w:val="18"/>
              </w:rPr>
            </w:pPr>
            <w:r>
              <w:rPr>
                <w:color w:val="231F20"/>
                <w:sz w:val="18"/>
              </w:rPr>
              <w:t>Opportunities </w:t>
            </w:r>
            <w:r>
              <w:rPr>
                <w:b/>
                <w:color w:val="231F20"/>
                <w:sz w:val="18"/>
              </w:rPr>
              <w:t>communicated </w:t>
            </w:r>
            <w:r>
              <w:rPr>
                <w:color w:val="231F20"/>
                <w:sz w:val="18"/>
              </w:rPr>
              <w:t>to Land owners</w:t>
            </w:r>
          </w:p>
        </w:tc>
        <w:tc>
          <w:tcPr>
            <w:tcW w:w="850" w:type="dxa"/>
          </w:tcPr>
          <w:p>
            <w:pPr>
              <w:pStyle w:val="TableParagraph"/>
              <w:spacing w:before="7"/>
              <w:rPr>
                <w:sz w:val="32"/>
              </w:rPr>
            </w:pPr>
          </w:p>
          <w:p>
            <w:pPr>
              <w:pStyle w:val="TableParagraph"/>
              <w:spacing w:before="1"/>
              <w:ind w:left="5"/>
              <w:jc w:val="center"/>
              <w:rPr>
                <w:rFonts w:ascii="Arial"/>
                <w:sz w:val="24"/>
              </w:rPr>
            </w:pPr>
            <w:r>
              <w:rPr>
                <w:rFonts w:ascii="Arial"/>
                <w:color w:val="1BB78D"/>
                <w:w w:val="336"/>
                <w:sz w:val="24"/>
              </w:rPr>
              <w:t>l</w:t>
            </w:r>
          </w:p>
        </w:tc>
      </w:tr>
      <w:tr>
        <w:trPr>
          <w:trHeight w:val="278" w:hRule="atLeast"/>
        </w:trPr>
        <w:tc>
          <w:tcPr>
            <w:tcW w:w="567" w:type="dxa"/>
          </w:tcPr>
          <w:p>
            <w:pPr>
              <w:pStyle w:val="TableParagraph"/>
              <w:spacing w:line="204" w:lineRule="exact" w:before="54"/>
              <w:ind w:left="180"/>
              <w:rPr>
                <w:b/>
                <w:sz w:val="18"/>
              </w:rPr>
            </w:pPr>
            <w:r>
              <w:rPr>
                <w:b/>
                <w:color w:val="231F20"/>
                <w:sz w:val="18"/>
              </w:rPr>
              <w:t>2.2</w:t>
            </w:r>
          </w:p>
        </w:tc>
        <w:tc>
          <w:tcPr>
            <w:tcW w:w="850" w:type="dxa"/>
          </w:tcPr>
          <w:p>
            <w:pPr>
              <w:pStyle w:val="TableParagraph"/>
              <w:spacing w:line="204" w:lineRule="exact" w:before="54"/>
              <w:ind w:left="114" w:right="107"/>
              <w:jc w:val="center"/>
              <w:rPr>
                <w:b/>
                <w:sz w:val="18"/>
              </w:rPr>
            </w:pPr>
            <w:r>
              <w:rPr>
                <w:b/>
                <w:color w:val="231F20"/>
                <w:sz w:val="18"/>
              </w:rPr>
              <w:t>MP</w:t>
            </w:r>
          </w:p>
        </w:tc>
        <w:tc>
          <w:tcPr>
            <w:tcW w:w="3966" w:type="dxa"/>
          </w:tcPr>
          <w:p>
            <w:pPr>
              <w:pStyle w:val="TableParagraph"/>
              <w:spacing w:line="204" w:lineRule="exact" w:before="54"/>
              <w:ind w:left="113"/>
              <w:rPr>
                <w:b/>
                <w:sz w:val="18"/>
              </w:rPr>
            </w:pPr>
            <w:r>
              <w:rPr>
                <w:b/>
                <w:color w:val="231F20"/>
                <w:sz w:val="18"/>
              </w:rPr>
              <w:t>Promote Tree Planting in Private land</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09"/>
              <w:ind w:left="113" w:right="200"/>
              <w:rPr>
                <w:sz w:val="18"/>
              </w:rPr>
            </w:pPr>
            <w:r>
              <w:rPr>
                <w:color w:val="231F20"/>
                <w:sz w:val="18"/>
              </w:rPr>
              <w:t>LEP and DCP DA and Permit tree removal approvals mandate compensatory planting. To ensure the Urban Forest canopy is sustained and increased if possible on private land</w:t>
            </w:r>
          </w:p>
        </w:tc>
        <w:tc>
          <w:tcPr>
            <w:tcW w:w="4252" w:type="dxa"/>
          </w:tcPr>
          <w:p>
            <w:pPr>
              <w:pStyle w:val="TableParagraph"/>
              <w:rPr>
                <w:sz w:val="20"/>
              </w:rPr>
            </w:pPr>
          </w:p>
          <w:p>
            <w:pPr>
              <w:pStyle w:val="TableParagraph"/>
              <w:spacing w:before="10"/>
              <w:rPr>
                <w:sz w:val="16"/>
              </w:rPr>
            </w:pPr>
          </w:p>
          <w:p>
            <w:pPr>
              <w:pStyle w:val="TableParagraph"/>
              <w:ind w:left="113"/>
              <w:rPr>
                <w:b/>
                <w:sz w:val="18"/>
              </w:rPr>
            </w:pPr>
            <w:r>
              <w:rPr>
                <w:color w:val="231F20"/>
                <w:sz w:val="18"/>
              </w:rPr>
              <w:t>Compensatory planting </w:t>
            </w:r>
            <w:r>
              <w:rPr>
                <w:b/>
                <w:color w:val="231F20"/>
                <w:sz w:val="18"/>
              </w:rPr>
              <w:t>requirements enforced</w:t>
            </w:r>
          </w:p>
        </w:tc>
        <w:tc>
          <w:tcPr>
            <w:tcW w:w="850" w:type="dxa"/>
          </w:tcPr>
          <w:p>
            <w:pPr>
              <w:pStyle w:val="TableParagraph"/>
              <w:spacing w:before="7"/>
              <w:rPr>
                <w:sz w:val="32"/>
              </w:rPr>
            </w:pPr>
          </w:p>
          <w:p>
            <w:pPr>
              <w:pStyle w:val="TableParagraph"/>
              <w:spacing w:before="1"/>
              <w:ind w:left="5"/>
              <w:jc w:val="center"/>
              <w:rPr>
                <w:rFonts w:ascii="Arial"/>
                <w:sz w:val="24"/>
              </w:rPr>
            </w:pPr>
            <w:r>
              <w:rPr>
                <w:rFonts w:ascii="Arial"/>
                <w:color w:val="1BB78D"/>
                <w:w w:val="336"/>
                <w:sz w:val="24"/>
              </w:rPr>
              <w:t>l</w:t>
            </w:r>
          </w:p>
        </w:tc>
      </w:tr>
      <w:tr>
        <w:trPr>
          <w:trHeight w:val="1242"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23"/>
              <w:ind w:left="113" w:right="348"/>
              <w:rPr>
                <w:sz w:val="18"/>
              </w:rPr>
            </w:pPr>
            <w:r>
              <w:rPr>
                <w:color w:val="231F20"/>
                <w:sz w:val="18"/>
              </w:rPr>
              <w:t>Provide Community information to encourage the planting of more trees and the most appropriate trees for the locations. Co-ordinate with existing Council Education and Community involvement programs to promote planting trees</w:t>
            </w:r>
          </w:p>
        </w:tc>
        <w:tc>
          <w:tcPr>
            <w:tcW w:w="4252" w:type="dxa"/>
          </w:tcPr>
          <w:p>
            <w:pPr>
              <w:pStyle w:val="TableParagraph"/>
              <w:rPr>
                <w:sz w:val="20"/>
              </w:rPr>
            </w:pPr>
          </w:p>
          <w:p>
            <w:pPr>
              <w:pStyle w:val="TableParagraph"/>
              <w:spacing w:before="8"/>
              <w:rPr>
                <w:sz w:val="26"/>
              </w:rPr>
            </w:pPr>
          </w:p>
          <w:p>
            <w:pPr>
              <w:pStyle w:val="TableParagraph"/>
              <w:spacing w:before="1"/>
              <w:ind w:left="113"/>
              <w:rPr>
                <w:b/>
                <w:sz w:val="18"/>
              </w:rPr>
            </w:pPr>
            <w:r>
              <w:rPr>
                <w:color w:val="231F20"/>
                <w:sz w:val="18"/>
              </w:rPr>
              <w:t>Community </w:t>
            </w:r>
            <w:r>
              <w:rPr>
                <w:b/>
                <w:color w:val="231F20"/>
                <w:sz w:val="18"/>
              </w:rPr>
              <w:t>programs </w:t>
            </w:r>
            <w:r>
              <w:rPr>
                <w:color w:val="231F20"/>
                <w:sz w:val="18"/>
              </w:rPr>
              <w:t>initiated, </w:t>
            </w:r>
            <w:r>
              <w:rPr>
                <w:b/>
                <w:color w:val="231F20"/>
                <w:sz w:val="18"/>
              </w:rPr>
              <w:t>input provided</w:t>
            </w:r>
          </w:p>
        </w:tc>
        <w:tc>
          <w:tcPr>
            <w:tcW w:w="850" w:type="dxa"/>
          </w:tcPr>
          <w:p>
            <w:pPr>
              <w:pStyle w:val="TableParagraph"/>
              <w:rPr>
                <w:sz w:val="26"/>
              </w:rPr>
            </w:pPr>
          </w:p>
          <w:p>
            <w:pPr>
              <w:pStyle w:val="TableParagraph"/>
              <w:spacing w:before="190"/>
              <w:ind w:left="5"/>
              <w:jc w:val="center"/>
              <w:rPr>
                <w:rFonts w:ascii="Arial"/>
                <w:sz w:val="24"/>
              </w:rPr>
            </w:pPr>
            <w:r>
              <w:rPr>
                <w:rFonts w:ascii="Arial"/>
                <w:color w:val="1BB78D"/>
                <w:w w:val="336"/>
                <w:sz w:val="24"/>
              </w:rPr>
              <w:t>l</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178"/>
              <w:ind w:left="113"/>
              <w:rPr>
                <w:sz w:val="18"/>
              </w:rPr>
            </w:pPr>
            <w:r>
              <w:rPr>
                <w:color w:val="231F20"/>
                <w:sz w:val="18"/>
              </w:rPr>
              <w:t>Prepare Community Guideline.</w:t>
            </w:r>
          </w:p>
        </w:tc>
        <w:tc>
          <w:tcPr>
            <w:tcW w:w="4252" w:type="dxa"/>
          </w:tcPr>
          <w:p>
            <w:pPr>
              <w:pStyle w:val="TableParagraph"/>
              <w:spacing w:line="232" w:lineRule="auto" w:before="101"/>
              <w:ind w:left="113" w:right="676"/>
              <w:rPr>
                <w:sz w:val="18"/>
              </w:rPr>
            </w:pPr>
            <w:r>
              <w:rPr>
                <w:b/>
                <w:color w:val="231F20"/>
                <w:sz w:val="18"/>
              </w:rPr>
              <w:t>Guides prepared </w:t>
            </w:r>
            <w:r>
              <w:rPr>
                <w:color w:val="231F20"/>
                <w:sz w:val="18"/>
              </w:rPr>
              <w:t>suitable for web and for hard copy distribution to address</w:t>
            </w:r>
          </w:p>
        </w:tc>
        <w:tc>
          <w:tcPr>
            <w:tcW w:w="850" w:type="dxa"/>
          </w:tcPr>
          <w:p>
            <w:pPr>
              <w:pStyle w:val="TableParagraph"/>
              <w:spacing w:before="148"/>
              <w:ind w:left="47"/>
              <w:jc w:val="center"/>
              <w:rPr>
                <w:rFonts w:ascii="Arial"/>
                <w:sz w:val="24"/>
              </w:rPr>
            </w:pPr>
            <w:r>
              <w:rPr>
                <w:rFonts w:ascii="Arial"/>
                <w:color w:val="1BB78D"/>
                <w:w w:val="336"/>
                <w:sz w:val="24"/>
              </w:rPr>
              <w:t>l</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76"/>
              <w:ind w:left="113"/>
              <w:rPr>
                <w:sz w:val="18"/>
              </w:rPr>
            </w:pPr>
            <w:r>
              <w:rPr>
                <w:color w:val="231F20"/>
                <w:sz w:val="18"/>
              </w:rPr>
              <w:t>DA Guidelines</w:t>
            </w:r>
          </w:p>
          <w:p>
            <w:pPr>
              <w:pStyle w:val="TableParagraph"/>
              <w:spacing w:line="232" w:lineRule="auto" w:before="55"/>
              <w:ind w:left="113" w:right="341"/>
              <w:rPr>
                <w:sz w:val="18"/>
              </w:rPr>
            </w:pPr>
            <w:r>
              <w:rPr>
                <w:color w:val="231F20"/>
                <w:sz w:val="18"/>
              </w:rPr>
              <w:t>Guidelines for Developers (web based ) — Protection of Existing Trees with specific requirements as to submissions etc</w:t>
            </w:r>
          </w:p>
        </w:tc>
        <w:tc>
          <w:tcPr>
            <w:tcW w:w="4252" w:type="dxa"/>
          </w:tcPr>
          <w:p>
            <w:pPr>
              <w:pStyle w:val="TableParagraph"/>
              <w:rPr>
                <w:sz w:val="20"/>
              </w:rPr>
            </w:pPr>
          </w:p>
          <w:p>
            <w:pPr>
              <w:pStyle w:val="TableParagraph"/>
              <w:spacing w:before="10"/>
              <w:rPr>
                <w:sz w:val="16"/>
              </w:rPr>
            </w:pPr>
          </w:p>
          <w:p>
            <w:pPr>
              <w:pStyle w:val="TableParagraph"/>
              <w:ind w:left="113"/>
              <w:rPr>
                <w:b/>
                <w:sz w:val="18"/>
              </w:rPr>
            </w:pPr>
            <w:r>
              <w:rPr>
                <w:b/>
                <w:color w:val="231F20"/>
                <w:sz w:val="18"/>
              </w:rPr>
              <w:t>Guides prepared</w:t>
            </w:r>
          </w:p>
        </w:tc>
        <w:tc>
          <w:tcPr>
            <w:tcW w:w="850" w:type="dxa"/>
          </w:tcPr>
          <w:p>
            <w:pPr>
              <w:pStyle w:val="TableParagraph"/>
              <w:rPr>
                <w:sz w:val="26"/>
              </w:rPr>
            </w:pPr>
          </w:p>
          <w:p>
            <w:pPr>
              <w:pStyle w:val="TableParagraph"/>
              <w:spacing w:before="170"/>
              <w:ind w:left="47"/>
              <w:jc w:val="center"/>
              <w:rPr>
                <w:rFonts w:ascii="Arial"/>
                <w:sz w:val="24"/>
              </w:rPr>
            </w:pPr>
            <w:r>
              <w:rPr>
                <w:rFonts w:ascii="Arial"/>
                <w:color w:val="1BB78D"/>
                <w:w w:val="336"/>
                <w:sz w:val="24"/>
              </w:rPr>
              <w:t>l</w:t>
            </w:r>
          </w:p>
        </w:tc>
      </w:tr>
    </w:tbl>
    <w:p>
      <w:pPr>
        <w:spacing w:after="0"/>
        <w:jc w:val="center"/>
        <w:rPr>
          <w:rFonts w:ascii="Arial"/>
          <w:sz w:val="24"/>
        </w:rPr>
        <w:sectPr>
          <w:pgSz w:w="11910" w:h="16840"/>
          <w:pgMar w:header="0" w:footer="779" w:top="560" w:bottom="960" w:left="460" w:right="440"/>
        </w:sectPr>
      </w:pPr>
    </w:p>
    <w:p>
      <w:pPr>
        <w:pStyle w:val="BodyText"/>
        <w:ind w:left="-10"/>
        <w:rPr>
          <w:sz w:val="20"/>
        </w:rPr>
      </w:pPr>
      <w:r>
        <w:rPr>
          <w:sz w:val="20"/>
        </w:rPr>
        <w:pict>
          <v:group style="width:530.1pt;height:77.3pt;mso-position-horizontal-relative:char;mso-position-vertical-relative:line" coordorigin="0,0" coordsize="10602,1546">
            <v:line style="position:absolute" from="10602,1492" to="0,1492" stroked="true" strokeweight=".25pt" strokecolor="#808285">
              <v:stroke dashstyle="solid"/>
            </v:line>
            <v:line style="position:absolute" from="3510,0" to="3510,1502" stroked="true" strokeweight=".25pt" strokecolor="#808285">
              <v:stroke dashstyle="solid"/>
            </v:line>
            <v:shape style="position:absolute;left:226;top:443;width:458;height:1102" type="#_x0000_t202" filled="false" stroked="false">
              <v:textbox inset="0,0,0,0">
                <w:txbxContent>
                  <w:p>
                    <w:pPr>
                      <w:spacing w:line="1100" w:lineRule="exact" w:before="0"/>
                      <w:ind w:left="0" w:right="0" w:firstLine="0"/>
                      <w:jc w:val="left"/>
                      <w:rPr>
                        <w:b/>
                        <w:sz w:val="96"/>
                      </w:rPr>
                    </w:pPr>
                    <w:r>
                      <w:rPr>
                        <w:b/>
                        <w:color w:val="808285"/>
                        <w:sz w:val="96"/>
                      </w:rPr>
                      <w:t>4</w:t>
                    </w:r>
                  </w:p>
                </w:txbxContent>
              </v:textbox>
              <w10:wrap type="none"/>
            </v:shape>
            <v:shape style="position:absolute;left:972;top:817;width:2290;height:576" type="#_x0000_t202" filled="false" stroked="false">
              <v:textbox inset="0,0,0,0">
                <w:txbxContent>
                  <w:p>
                    <w:pPr>
                      <w:spacing w:line="275" w:lineRule="exact" w:before="0"/>
                      <w:ind w:left="381" w:right="0" w:firstLine="0"/>
                      <w:jc w:val="left"/>
                      <w:rPr>
                        <w:i/>
                        <w:sz w:val="24"/>
                      </w:rPr>
                    </w:pPr>
                    <w:r>
                      <w:rPr>
                        <w:i/>
                        <w:color w:val="231F20"/>
                        <w:sz w:val="24"/>
                      </w:rPr>
                      <w:t>Marrickville Council</w:t>
                    </w:r>
                  </w:p>
                  <w:p>
                    <w:pPr>
                      <w:spacing w:before="25"/>
                      <w:ind w:left="0" w:right="0" w:firstLine="0"/>
                      <w:jc w:val="left"/>
                      <w:rPr>
                        <w:b/>
                        <w:i/>
                        <w:sz w:val="24"/>
                      </w:rPr>
                    </w:pPr>
                    <w:r>
                      <w:rPr>
                        <w:b/>
                        <w:i/>
                        <w:color w:val="231F20"/>
                        <w:sz w:val="24"/>
                      </w:rPr>
                      <w:t>Urban  Forest Strategy</w:t>
                    </w:r>
                  </w:p>
                </w:txbxContent>
              </v:textbox>
              <w10:wrap type="none"/>
            </v:shape>
          </v:group>
        </w:pict>
      </w:r>
      <w:r>
        <w:rPr>
          <w:sz w:val="20"/>
        </w:rPr>
      </w:r>
    </w:p>
    <w:p>
      <w:pPr>
        <w:pStyle w:val="BodyText"/>
        <w:rPr>
          <w:sz w:val="20"/>
        </w:rPr>
      </w:pPr>
    </w:p>
    <w:p>
      <w:pPr>
        <w:pStyle w:val="BodyText"/>
        <w:spacing w:before="5"/>
        <w:rPr>
          <w:sz w:val="11"/>
        </w:rPr>
      </w:pPr>
    </w:p>
    <w:tbl>
      <w:tblPr>
        <w:tblW w:w="0" w:type="auto"/>
        <w:jc w:val="left"/>
        <w:tblInd w:w="10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850"/>
        <w:gridCol w:w="3966"/>
        <w:gridCol w:w="4252"/>
        <w:gridCol w:w="850"/>
      </w:tblGrid>
      <w:tr>
        <w:trPr>
          <w:trHeight w:val="448" w:hRule="atLeast"/>
        </w:trPr>
        <w:tc>
          <w:tcPr>
            <w:tcW w:w="567" w:type="dxa"/>
          </w:tcPr>
          <w:p>
            <w:pPr>
              <w:pStyle w:val="TableParagraph"/>
              <w:spacing w:before="140"/>
              <w:ind w:left="98" w:right="93"/>
              <w:jc w:val="center"/>
              <w:rPr>
                <w:b/>
                <w:sz w:val="18"/>
              </w:rPr>
            </w:pPr>
            <w:r>
              <w:rPr>
                <w:b/>
                <w:color w:val="231F20"/>
                <w:sz w:val="18"/>
              </w:rPr>
              <w:t>No.</w:t>
            </w:r>
          </w:p>
        </w:tc>
        <w:tc>
          <w:tcPr>
            <w:tcW w:w="850" w:type="dxa"/>
          </w:tcPr>
          <w:p>
            <w:pPr>
              <w:pStyle w:val="TableParagraph"/>
              <w:spacing w:before="140"/>
              <w:ind w:left="113" w:right="108"/>
              <w:jc w:val="center"/>
              <w:rPr>
                <w:b/>
                <w:sz w:val="18"/>
              </w:rPr>
            </w:pPr>
            <w:r>
              <w:rPr>
                <w:b/>
                <w:color w:val="231F20"/>
                <w:sz w:val="18"/>
              </w:rPr>
              <w:t>Priority</w:t>
            </w:r>
          </w:p>
        </w:tc>
        <w:tc>
          <w:tcPr>
            <w:tcW w:w="3966" w:type="dxa"/>
          </w:tcPr>
          <w:p>
            <w:pPr>
              <w:pStyle w:val="TableParagraph"/>
              <w:spacing w:before="140"/>
              <w:ind w:left="1692" w:right="1687"/>
              <w:jc w:val="center"/>
              <w:rPr>
                <w:b/>
                <w:sz w:val="18"/>
              </w:rPr>
            </w:pPr>
            <w:r>
              <w:rPr>
                <w:b/>
                <w:color w:val="231F20"/>
                <w:sz w:val="18"/>
              </w:rPr>
              <w:t>Actions</w:t>
            </w:r>
          </w:p>
        </w:tc>
        <w:tc>
          <w:tcPr>
            <w:tcW w:w="4252" w:type="dxa"/>
          </w:tcPr>
          <w:p>
            <w:pPr>
              <w:pStyle w:val="TableParagraph"/>
              <w:spacing w:before="140"/>
              <w:ind w:left="1786" w:right="1781"/>
              <w:jc w:val="center"/>
              <w:rPr>
                <w:b/>
                <w:sz w:val="18"/>
              </w:rPr>
            </w:pPr>
            <w:r>
              <w:rPr>
                <w:b/>
                <w:color w:val="231F20"/>
                <w:sz w:val="18"/>
              </w:rPr>
              <w:t>Outcome</w:t>
            </w:r>
          </w:p>
        </w:tc>
        <w:tc>
          <w:tcPr>
            <w:tcW w:w="850" w:type="dxa"/>
          </w:tcPr>
          <w:p>
            <w:pPr>
              <w:pStyle w:val="TableParagraph"/>
              <w:spacing w:before="140"/>
              <w:ind w:left="114" w:right="108"/>
              <w:jc w:val="center"/>
              <w:rPr>
                <w:b/>
                <w:sz w:val="18"/>
              </w:rPr>
            </w:pPr>
            <w:r>
              <w:rPr>
                <w:b/>
                <w:color w:val="231F20"/>
                <w:sz w:val="18"/>
              </w:rPr>
              <w:t>Funding</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HP</w:t>
            </w:r>
          </w:p>
        </w:tc>
        <w:tc>
          <w:tcPr>
            <w:tcW w:w="3966" w:type="dxa"/>
          </w:tcPr>
          <w:p>
            <w:pPr>
              <w:pStyle w:val="TableParagraph"/>
              <w:spacing w:line="183" w:lineRule="exact" w:before="19"/>
              <w:ind w:left="113"/>
              <w:rPr>
                <w:sz w:val="16"/>
              </w:rPr>
            </w:pPr>
            <w:r>
              <w:rPr>
                <w:color w:val="231F20"/>
                <w:sz w:val="16"/>
              </w:rPr>
              <w:t>High Priority</w:t>
            </w:r>
          </w:p>
        </w:tc>
        <w:tc>
          <w:tcPr>
            <w:tcW w:w="4252" w:type="dxa"/>
          </w:tcPr>
          <w:p>
            <w:pPr>
              <w:pStyle w:val="TableParagraph"/>
              <w:spacing w:line="183" w:lineRule="exact" w:before="19"/>
              <w:ind w:left="1032"/>
              <w:rPr>
                <w:sz w:val="16"/>
              </w:rPr>
            </w:pPr>
            <w:r>
              <w:rPr>
                <w:color w:val="231F20"/>
                <w:sz w:val="16"/>
              </w:rPr>
              <w:t>Require substantial additional funding</w:t>
            </w:r>
          </w:p>
        </w:tc>
        <w:tc>
          <w:tcPr>
            <w:tcW w:w="850" w:type="dxa"/>
          </w:tcPr>
          <w:p>
            <w:pPr>
              <w:pStyle w:val="TableParagraph"/>
              <w:spacing w:line="202" w:lineRule="exact"/>
              <w:ind w:left="5"/>
              <w:jc w:val="center"/>
              <w:rPr>
                <w:rFonts w:ascii="Arial" w:hAnsi="Arial"/>
                <w:b/>
                <w:sz w:val="24"/>
              </w:rPr>
            </w:pPr>
            <w:r>
              <w:rPr>
                <w:rFonts w:ascii="Arial" w:hAnsi="Arial"/>
                <w:b/>
                <w:color w:val="D34D49"/>
                <w:sz w:val="24"/>
              </w:rPr>
              <w:t>■</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MP</w:t>
            </w:r>
          </w:p>
        </w:tc>
        <w:tc>
          <w:tcPr>
            <w:tcW w:w="3966" w:type="dxa"/>
          </w:tcPr>
          <w:p>
            <w:pPr>
              <w:pStyle w:val="TableParagraph"/>
              <w:spacing w:line="183" w:lineRule="exact" w:before="19"/>
              <w:ind w:left="113"/>
              <w:rPr>
                <w:sz w:val="16"/>
              </w:rPr>
            </w:pPr>
            <w:r>
              <w:rPr>
                <w:color w:val="231F20"/>
                <w:sz w:val="16"/>
              </w:rPr>
              <w:t>Medium Priority</w:t>
            </w:r>
          </w:p>
        </w:tc>
        <w:tc>
          <w:tcPr>
            <w:tcW w:w="4252" w:type="dxa"/>
          </w:tcPr>
          <w:p>
            <w:pPr>
              <w:pStyle w:val="TableParagraph"/>
              <w:spacing w:line="183" w:lineRule="exact" w:before="19"/>
              <w:ind w:left="1163"/>
              <w:rPr>
                <w:sz w:val="16"/>
              </w:rPr>
            </w:pPr>
            <w:r>
              <w:rPr>
                <w:color w:val="231F20"/>
                <w:sz w:val="16"/>
              </w:rPr>
              <w:t>Some additional funding required</w:t>
            </w:r>
          </w:p>
        </w:tc>
        <w:tc>
          <w:tcPr>
            <w:tcW w:w="850" w:type="dxa"/>
          </w:tcPr>
          <w:p>
            <w:pPr>
              <w:pStyle w:val="TableParagraph"/>
              <w:spacing w:line="202" w:lineRule="exact"/>
              <w:ind w:left="5"/>
              <w:jc w:val="center"/>
              <w:rPr>
                <w:rFonts w:ascii="Arial"/>
                <w:sz w:val="24"/>
              </w:rPr>
            </w:pPr>
            <w:r>
              <w:rPr>
                <w:rFonts w:ascii="Arial"/>
                <w:color w:val="FDB933"/>
                <w:w w:val="268"/>
                <w:sz w:val="24"/>
              </w:rPr>
              <w:t>t</w:t>
            </w:r>
          </w:p>
        </w:tc>
      </w:tr>
      <w:tr>
        <w:trPr>
          <w:trHeight w:val="214" w:hRule="atLeast"/>
        </w:trPr>
        <w:tc>
          <w:tcPr>
            <w:tcW w:w="567" w:type="dxa"/>
            <w:tcBorders>
              <w:bottom w:val="single" w:sz="8" w:space="0" w:color="231F20"/>
            </w:tcBorders>
          </w:tcPr>
          <w:p>
            <w:pPr>
              <w:pStyle w:val="TableParagraph"/>
              <w:rPr>
                <w:rFonts w:ascii="Times New Roman"/>
                <w:sz w:val="14"/>
              </w:rPr>
            </w:pPr>
          </w:p>
        </w:tc>
        <w:tc>
          <w:tcPr>
            <w:tcW w:w="850" w:type="dxa"/>
            <w:tcBorders>
              <w:bottom w:val="single" w:sz="8" w:space="0" w:color="231F20"/>
            </w:tcBorders>
          </w:tcPr>
          <w:p>
            <w:pPr>
              <w:pStyle w:val="TableParagraph"/>
              <w:spacing w:line="172" w:lineRule="exact" w:before="22"/>
              <w:ind w:left="114" w:right="107"/>
              <w:jc w:val="center"/>
              <w:rPr>
                <w:b/>
                <w:sz w:val="18"/>
              </w:rPr>
            </w:pPr>
            <w:r>
              <w:rPr>
                <w:b/>
                <w:color w:val="231F20"/>
                <w:sz w:val="18"/>
              </w:rPr>
              <w:t>LP</w:t>
            </w:r>
          </w:p>
        </w:tc>
        <w:tc>
          <w:tcPr>
            <w:tcW w:w="3966" w:type="dxa"/>
            <w:tcBorders>
              <w:bottom w:val="single" w:sz="8" w:space="0" w:color="231F20"/>
            </w:tcBorders>
          </w:tcPr>
          <w:p>
            <w:pPr>
              <w:pStyle w:val="TableParagraph"/>
              <w:spacing w:line="179" w:lineRule="exact" w:before="15"/>
              <w:ind w:left="113"/>
              <w:rPr>
                <w:sz w:val="16"/>
              </w:rPr>
            </w:pPr>
            <w:r>
              <w:rPr>
                <w:color w:val="231F20"/>
                <w:sz w:val="16"/>
              </w:rPr>
              <w:t>Low Priority</w:t>
            </w:r>
          </w:p>
        </w:tc>
        <w:tc>
          <w:tcPr>
            <w:tcW w:w="4252" w:type="dxa"/>
            <w:tcBorders>
              <w:bottom w:val="single" w:sz="8" w:space="0" w:color="231F20"/>
            </w:tcBorders>
          </w:tcPr>
          <w:p>
            <w:pPr>
              <w:pStyle w:val="TableParagraph"/>
              <w:spacing w:line="179" w:lineRule="exact" w:before="15"/>
              <w:ind w:left="313"/>
              <w:rPr>
                <w:sz w:val="16"/>
              </w:rPr>
            </w:pPr>
            <w:r>
              <w:rPr>
                <w:color w:val="231F20"/>
                <w:sz w:val="16"/>
              </w:rPr>
              <w:t>Little / no additional funding required — use existing resources</w:t>
            </w:r>
          </w:p>
        </w:tc>
        <w:tc>
          <w:tcPr>
            <w:tcW w:w="850" w:type="dxa"/>
            <w:tcBorders>
              <w:bottom w:val="single" w:sz="8" w:space="0" w:color="231F20"/>
            </w:tcBorders>
          </w:tcPr>
          <w:p>
            <w:pPr>
              <w:pStyle w:val="TableParagraph"/>
              <w:spacing w:line="194" w:lineRule="exact"/>
              <w:ind w:left="5"/>
              <w:jc w:val="center"/>
              <w:rPr>
                <w:rFonts w:ascii="Arial"/>
                <w:sz w:val="24"/>
              </w:rPr>
            </w:pPr>
            <w:r>
              <w:rPr>
                <w:rFonts w:ascii="Arial"/>
                <w:color w:val="1BB78D"/>
                <w:w w:val="336"/>
                <w:sz w:val="24"/>
              </w:rPr>
              <w:t>l</w:t>
            </w:r>
          </w:p>
        </w:tc>
      </w:tr>
      <w:tr>
        <w:trPr>
          <w:trHeight w:val="448" w:hRule="atLeast"/>
        </w:trPr>
        <w:tc>
          <w:tcPr>
            <w:tcW w:w="567" w:type="dxa"/>
            <w:tcBorders>
              <w:top w:val="single" w:sz="8" w:space="0" w:color="231F20"/>
            </w:tcBorders>
          </w:tcPr>
          <w:p>
            <w:pPr>
              <w:pStyle w:val="TableParagraph"/>
              <w:spacing w:before="140"/>
              <w:ind w:left="4"/>
              <w:jc w:val="center"/>
              <w:rPr>
                <w:b/>
                <w:sz w:val="18"/>
              </w:rPr>
            </w:pPr>
            <w:r>
              <w:rPr>
                <w:b/>
                <w:color w:val="231F20"/>
                <w:sz w:val="18"/>
              </w:rPr>
              <w:t>3</w:t>
            </w:r>
          </w:p>
        </w:tc>
        <w:tc>
          <w:tcPr>
            <w:tcW w:w="850" w:type="dxa"/>
            <w:tcBorders>
              <w:top w:val="single" w:sz="8" w:space="0" w:color="231F20"/>
            </w:tcBorders>
          </w:tcPr>
          <w:p>
            <w:pPr>
              <w:pStyle w:val="TableParagraph"/>
              <w:rPr>
                <w:rFonts w:ascii="Times New Roman"/>
                <w:sz w:val="18"/>
              </w:rPr>
            </w:pPr>
          </w:p>
        </w:tc>
        <w:tc>
          <w:tcPr>
            <w:tcW w:w="9068" w:type="dxa"/>
            <w:gridSpan w:val="3"/>
            <w:tcBorders>
              <w:top w:val="single" w:sz="8" w:space="0" w:color="231F20"/>
            </w:tcBorders>
          </w:tcPr>
          <w:p>
            <w:pPr>
              <w:pStyle w:val="TableParagraph"/>
              <w:spacing w:before="140"/>
              <w:ind w:left="113"/>
              <w:rPr>
                <w:b/>
                <w:sz w:val="18"/>
              </w:rPr>
            </w:pPr>
            <w:r>
              <w:rPr>
                <w:b/>
                <w:color w:val="231F20"/>
                <w:sz w:val="18"/>
              </w:rPr>
              <w:t>Action 3: Undertake Whole of Life Management</w:t>
            </w:r>
          </w:p>
        </w:tc>
      </w:tr>
      <w:tr>
        <w:trPr>
          <w:trHeight w:val="335" w:hRule="atLeast"/>
        </w:trPr>
        <w:tc>
          <w:tcPr>
            <w:tcW w:w="567" w:type="dxa"/>
          </w:tcPr>
          <w:p>
            <w:pPr>
              <w:pStyle w:val="TableParagraph"/>
              <w:spacing w:before="83"/>
              <w:ind w:left="98" w:right="94"/>
              <w:jc w:val="center"/>
              <w:rPr>
                <w:b/>
                <w:sz w:val="18"/>
              </w:rPr>
            </w:pPr>
            <w:r>
              <w:rPr>
                <w:b/>
                <w:color w:val="231F20"/>
                <w:sz w:val="18"/>
              </w:rPr>
              <w:t>3.1</w:t>
            </w:r>
          </w:p>
        </w:tc>
        <w:tc>
          <w:tcPr>
            <w:tcW w:w="850" w:type="dxa"/>
          </w:tcPr>
          <w:p>
            <w:pPr>
              <w:pStyle w:val="TableParagraph"/>
              <w:spacing w:before="83"/>
              <w:ind w:left="114" w:right="107"/>
              <w:jc w:val="center"/>
              <w:rPr>
                <w:b/>
                <w:sz w:val="18"/>
              </w:rPr>
            </w:pPr>
            <w:r>
              <w:rPr>
                <w:b/>
                <w:color w:val="231F20"/>
                <w:sz w:val="18"/>
              </w:rPr>
              <w:t>MP</w:t>
            </w:r>
          </w:p>
        </w:tc>
        <w:tc>
          <w:tcPr>
            <w:tcW w:w="3966" w:type="dxa"/>
          </w:tcPr>
          <w:p>
            <w:pPr>
              <w:pStyle w:val="TableParagraph"/>
              <w:spacing w:before="83"/>
              <w:ind w:left="113"/>
              <w:rPr>
                <w:b/>
                <w:sz w:val="18"/>
              </w:rPr>
            </w:pPr>
            <w:r>
              <w:rPr>
                <w:b/>
                <w:color w:val="231F20"/>
                <w:sz w:val="18"/>
              </w:rPr>
              <w:t>Asset Structure</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83"/>
              <w:ind w:left="113" w:right="365"/>
              <w:rPr>
                <w:sz w:val="18"/>
              </w:rPr>
            </w:pPr>
            <w:r>
              <w:rPr>
                <w:color w:val="231F20"/>
                <w:sz w:val="18"/>
              </w:rPr>
              <w:t>Implement a program to establish optimum age class distribution throughout Marrickville</w:t>
            </w:r>
          </w:p>
        </w:tc>
        <w:tc>
          <w:tcPr>
            <w:tcW w:w="4252" w:type="dxa"/>
          </w:tcPr>
          <w:p>
            <w:pPr>
              <w:pStyle w:val="TableParagraph"/>
              <w:spacing w:before="1"/>
              <w:rPr>
                <w:sz w:val="17"/>
              </w:rPr>
            </w:pPr>
          </w:p>
          <w:p>
            <w:pPr>
              <w:pStyle w:val="TableParagraph"/>
              <w:ind w:left="113"/>
              <w:rPr>
                <w:b/>
                <w:sz w:val="18"/>
              </w:rPr>
            </w:pPr>
            <w:r>
              <w:rPr>
                <w:b/>
                <w:color w:val="231F20"/>
                <w:sz w:val="18"/>
              </w:rPr>
              <w:t>Planting Program Implemented</w:t>
            </w:r>
          </w:p>
        </w:tc>
        <w:tc>
          <w:tcPr>
            <w:tcW w:w="850" w:type="dxa"/>
          </w:tcPr>
          <w:p>
            <w:pPr>
              <w:pStyle w:val="TableParagraph"/>
              <w:spacing w:before="143"/>
              <w:ind w:left="5"/>
              <w:jc w:val="center"/>
              <w:rPr>
                <w:rFonts w:ascii="Arial" w:hAnsi="Arial"/>
                <w:b/>
                <w:sz w:val="24"/>
              </w:rPr>
            </w:pPr>
            <w:r>
              <w:rPr>
                <w:rFonts w:ascii="Arial" w:hAnsi="Arial"/>
                <w:b/>
                <w:color w:val="D34D49"/>
                <w:sz w:val="24"/>
              </w:rPr>
              <w:t>■</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83"/>
              <w:ind w:left="113" w:right="447"/>
              <w:rPr>
                <w:sz w:val="18"/>
              </w:rPr>
            </w:pPr>
            <w:r>
              <w:rPr>
                <w:color w:val="231F20"/>
                <w:sz w:val="18"/>
              </w:rPr>
              <w:t>Implement life cycle management procedures for all public trees based on AMP condition assessment</w:t>
            </w:r>
          </w:p>
        </w:tc>
        <w:tc>
          <w:tcPr>
            <w:tcW w:w="4252" w:type="dxa"/>
          </w:tcPr>
          <w:p>
            <w:pPr>
              <w:pStyle w:val="TableParagraph"/>
              <w:spacing w:line="232" w:lineRule="auto" w:before="101"/>
              <w:ind w:left="113"/>
              <w:rPr>
                <w:sz w:val="18"/>
              </w:rPr>
            </w:pPr>
            <w:r>
              <w:rPr>
                <w:color w:val="231F20"/>
                <w:sz w:val="18"/>
              </w:rPr>
              <w:t>Cyclic management </w:t>
            </w:r>
            <w:r>
              <w:rPr>
                <w:b/>
                <w:color w:val="231F20"/>
                <w:sz w:val="18"/>
              </w:rPr>
              <w:t>program established </w:t>
            </w:r>
            <w:r>
              <w:rPr>
                <w:color w:val="231F20"/>
                <w:sz w:val="18"/>
              </w:rPr>
              <w:t>for all Public Tree Asset.</w:t>
            </w:r>
          </w:p>
        </w:tc>
        <w:tc>
          <w:tcPr>
            <w:tcW w:w="850" w:type="dxa"/>
          </w:tcPr>
          <w:p>
            <w:pPr>
              <w:pStyle w:val="TableParagraph"/>
              <w:spacing w:before="148"/>
              <w:ind w:left="47"/>
              <w:jc w:val="center"/>
              <w:rPr>
                <w:rFonts w:ascii="Arial"/>
                <w:sz w:val="24"/>
              </w:rPr>
            </w:pPr>
            <w:r>
              <w:rPr>
                <w:rFonts w:ascii="Arial"/>
                <w:color w:val="FDB933"/>
                <w:w w:val="268"/>
                <w:sz w:val="24"/>
              </w:rPr>
              <w:t>t</w:t>
            </w:r>
          </w:p>
        </w:tc>
      </w:tr>
      <w:tr>
        <w:trPr>
          <w:trHeight w:val="335" w:hRule="atLeast"/>
        </w:trPr>
        <w:tc>
          <w:tcPr>
            <w:tcW w:w="567" w:type="dxa"/>
          </w:tcPr>
          <w:p>
            <w:pPr>
              <w:pStyle w:val="TableParagraph"/>
              <w:spacing w:before="54"/>
              <w:ind w:left="98" w:right="94"/>
              <w:jc w:val="center"/>
              <w:rPr>
                <w:b/>
                <w:sz w:val="18"/>
              </w:rPr>
            </w:pPr>
            <w:r>
              <w:rPr>
                <w:b/>
                <w:color w:val="231F20"/>
                <w:sz w:val="18"/>
              </w:rPr>
              <w:t>3.2</w:t>
            </w:r>
          </w:p>
        </w:tc>
        <w:tc>
          <w:tcPr>
            <w:tcW w:w="850" w:type="dxa"/>
          </w:tcPr>
          <w:p>
            <w:pPr>
              <w:pStyle w:val="TableParagraph"/>
              <w:spacing w:before="54"/>
              <w:ind w:left="114" w:right="107"/>
              <w:jc w:val="center"/>
              <w:rPr>
                <w:b/>
                <w:sz w:val="18"/>
              </w:rPr>
            </w:pPr>
            <w:r>
              <w:rPr>
                <w:b/>
                <w:color w:val="231F20"/>
                <w:sz w:val="18"/>
              </w:rPr>
              <w:t>MP</w:t>
            </w:r>
          </w:p>
        </w:tc>
        <w:tc>
          <w:tcPr>
            <w:tcW w:w="3966" w:type="dxa"/>
          </w:tcPr>
          <w:p>
            <w:pPr>
              <w:pStyle w:val="TableParagraph"/>
              <w:spacing w:before="83"/>
              <w:ind w:left="113"/>
              <w:rPr>
                <w:b/>
                <w:sz w:val="18"/>
              </w:rPr>
            </w:pPr>
            <w:r>
              <w:rPr>
                <w:b/>
                <w:color w:val="231F20"/>
                <w:sz w:val="18"/>
              </w:rPr>
              <w:t>Asset Management</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84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24"/>
              <w:ind w:left="113" w:right="307"/>
              <w:rPr>
                <w:sz w:val="18"/>
              </w:rPr>
            </w:pPr>
            <w:r>
              <w:rPr>
                <w:color w:val="231F20"/>
                <w:sz w:val="18"/>
              </w:rPr>
              <w:t>Manage public Urban Forest assets to meet AMP requirements and to comply with legislative and policy commitments</w:t>
            </w:r>
          </w:p>
        </w:tc>
        <w:tc>
          <w:tcPr>
            <w:tcW w:w="4252" w:type="dxa"/>
          </w:tcPr>
          <w:p>
            <w:pPr>
              <w:pStyle w:val="TableParagraph"/>
              <w:spacing w:before="5"/>
              <w:rPr>
                <w:sz w:val="29"/>
              </w:rPr>
            </w:pPr>
          </w:p>
          <w:p>
            <w:pPr>
              <w:pStyle w:val="TableParagraph"/>
              <w:ind w:left="113"/>
              <w:rPr>
                <w:b/>
                <w:sz w:val="18"/>
              </w:rPr>
            </w:pPr>
            <w:r>
              <w:rPr>
                <w:color w:val="231F20"/>
                <w:sz w:val="18"/>
              </w:rPr>
              <w:t>Management </w:t>
            </w:r>
            <w:r>
              <w:rPr>
                <w:b/>
                <w:color w:val="231F20"/>
                <w:sz w:val="18"/>
              </w:rPr>
              <w:t>practices formulated</w:t>
            </w:r>
          </w:p>
        </w:tc>
        <w:tc>
          <w:tcPr>
            <w:tcW w:w="850" w:type="dxa"/>
          </w:tcPr>
          <w:p>
            <w:pPr>
              <w:pStyle w:val="TableParagraph"/>
              <w:spacing w:before="3"/>
              <w:rPr>
                <w:sz w:val="25"/>
              </w:rPr>
            </w:pPr>
          </w:p>
          <w:p>
            <w:pPr>
              <w:pStyle w:val="TableParagraph"/>
              <w:ind w:left="5"/>
              <w:jc w:val="center"/>
              <w:rPr>
                <w:rFonts w:ascii="Arial"/>
                <w:sz w:val="24"/>
              </w:rPr>
            </w:pPr>
            <w:r>
              <w:rPr>
                <w:rFonts w:ascii="Arial"/>
                <w:color w:val="1BB78D"/>
                <w:w w:val="336"/>
                <w:sz w:val="24"/>
              </w:rPr>
              <w:t>l</w:t>
            </w:r>
          </w:p>
        </w:tc>
      </w:tr>
      <w:tr>
        <w:trPr>
          <w:trHeight w:val="84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24"/>
              <w:ind w:left="113" w:right="596"/>
              <w:rPr>
                <w:sz w:val="18"/>
              </w:rPr>
            </w:pPr>
            <w:r>
              <w:rPr>
                <w:color w:val="231F20"/>
                <w:sz w:val="18"/>
              </w:rPr>
              <w:t>Improve management practices for the Public Tree Asset- aim for best practice — cost effective</w:t>
            </w:r>
          </w:p>
          <w:p>
            <w:pPr>
              <w:pStyle w:val="TableParagraph"/>
              <w:spacing w:line="201" w:lineRule="exact"/>
              <w:ind w:left="113"/>
              <w:rPr>
                <w:sz w:val="18"/>
              </w:rPr>
            </w:pPr>
            <w:r>
              <w:rPr>
                <w:color w:val="231F20"/>
                <w:sz w:val="18"/>
              </w:rPr>
              <w:t>management of tree assets maintained in good condition</w:t>
            </w:r>
          </w:p>
        </w:tc>
        <w:tc>
          <w:tcPr>
            <w:tcW w:w="4252" w:type="dxa"/>
          </w:tcPr>
          <w:p>
            <w:pPr>
              <w:pStyle w:val="TableParagraph"/>
              <w:spacing w:before="5"/>
              <w:rPr>
                <w:sz w:val="29"/>
              </w:rPr>
            </w:pPr>
          </w:p>
          <w:p>
            <w:pPr>
              <w:pStyle w:val="TableParagraph"/>
              <w:ind w:left="113"/>
              <w:rPr>
                <w:b/>
                <w:sz w:val="18"/>
              </w:rPr>
            </w:pPr>
            <w:r>
              <w:rPr>
                <w:color w:val="231F20"/>
                <w:sz w:val="18"/>
              </w:rPr>
              <w:t>Management </w:t>
            </w:r>
            <w:r>
              <w:rPr>
                <w:b/>
                <w:color w:val="231F20"/>
                <w:sz w:val="18"/>
              </w:rPr>
              <w:t>practices implemented</w:t>
            </w:r>
          </w:p>
        </w:tc>
        <w:tc>
          <w:tcPr>
            <w:tcW w:w="850" w:type="dxa"/>
          </w:tcPr>
          <w:p>
            <w:pPr>
              <w:pStyle w:val="TableParagraph"/>
              <w:spacing w:before="3"/>
              <w:rPr>
                <w:sz w:val="25"/>
              </w:rPr>
            </w:pPr>
          </w:p>
          <w:p>
            <w:pPr>
              <w:pStyle w:val="TableParagraph"/>
              <w:ind w:left="5"/>
              <w:jc w:val="center"/>
              <w:rPr>
                <w:rFonts w:ascii="Arial"/>
                <w:sz w:val="24"/>
              </w:rPr>
            </w:pPr>
            <w:r>
              <w:rPr>
                <w:rFonts w:ascii="Arial"/>
                <w:color w:val="FDB933"/>
                <w:w w:val="268"/>
                <w:sz w:val="24"/>
              </w:rPr>
              <w:t>t</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09"/>
              <w:ind w:left="113" w:right="586"/>
              <w:rPr>
                <w:sz w:val="18"/>
              </w:rPr>
            </w:pPr>
            <w:r>
              <w:rPr>
                <w:color w:val="231F20"/>
                <w:sz w:val="18"/>
              </w:rPr>
              <w:t>Negotiate with utility providers to allow better management of trees. Service agreements with Utilities owners (Electricity, water, sewer, gas, telecommunications etc) for management of trees</w:t>
            </w:r>
          </w:p>
        </w:tc>
        <w:tc>
          <w:tcPr>
            <w:tcW w:w="4252" w:type="dxa"/>
          </w:tcPr>
          <w:p>
            <w:pPr>
              <w:pStyle w:val="TableParagraph"/>
              <w:rPr>
                <w:sz w:val="20"/>
              </w:rPr>
            </w:pPr>
          </w:p>
          <w:p>
            <w:pPr>
              <w:pStyle w:val="TableParagraph"/>
              <w:spacing w:before="10"/>
              <w:rPr>
                <w:sz w:val="16"/>
              </w:rPr>
            </w:pPr>
          </w:p>
          <w:p>
            <w:pPr>
              <w:pStyle w:val="TableParagraph"/>
              <w:ind w:left="113"/>
              <w:rPr>
                <w:sz w:val="18"/>
              </w:rPr>
            </w:pPr>
            <w:r>
              <w:rPr>
                <w:b/>
                <w:color w:val="231F20"/>
                <w:sz w:val="18"/>
              </w:rPr>
              <w:t>Negotiations </w:t>
            </w:r>
            <w:r>
              <w:rPr>
                <w:color w:val="231F20"/>
                <w:sz w:val="18"/>
              </w:rPr>
              <w:t>held and improvements gained</w:t>
            </w:r>
          </w:p>
        </w:tc>
        <w:tc>
          <w:tcPr>
            <w:tcW w:w="850" w:type="dxa"/>
          </w:tcPr>
          <w:p>
            <w:pPr>
              <w:pStyle w:val="TableParagraph"/>
              <w:spacing w:before="7"/>
              <w:rPr>
                <w:sz w:val="32"/>
              </w:rPr>
            </w:pPr>
          </w:p>
          <w:p>
            <w:pPr>
              <w:pStyle w:val="TableParagraph"/>
              <w:spacing w:before="1"/>
              <w:ind w:left="5"/>
              <w:jc w:val="center"/>
              <w:rPr>
                <w:rFonts w:ascii="Arial"/>
                <w:sz w:val="24"/>
              </w:rPr>
            </w:pPr>
            <w:r>
              <w:rPr>
                <w:rFonts w:ascii="Arial"/>
                <w:color w:val="1BB78D"/>
                <w:w w:val="336"/>
                <w:sz w:val="24"/>
              </w:rPr>
              <w:t>l</w:t>
            </w:r>
          </w:p>
        </w:tc>
      </w:tr>
      <w:tr>
        <w:trPr>
          <w:trHeight w:val="335" w:hRule="atLeast"/>
        </w:trPr>
        <w:tc>
          <w:tcPr>
            <w:tcW w:w="567" w:type="dxa"/>
          </w:tcPr>
          <w:p>
            <w:pPr>
              <w:pStyle w:val="TableParagraph"/>
              <w:spacing w:before="83"/>
              <w:ind w:left="98" w:right="94"/>
              <w:jc w:val="center"/>
              <w:rPr>
                <w:b/>
                <w:sz w:val="18"/>
              </w:rPr>
            </w:pPr>
            <w:r>
              <w:rPr>
                <w:b/>
                <w:color w:val="231F20"/>
                <w:sz w:val="18"/>
              </w:rPr>
              <w:t>3.3</w:t>
            </w:r>
          </w:p>
        </w:tc>
        <w:tc>
          <w:tcPr>
            <w:tcW w:w="850" w:type="dxa"/>
          </w:tcPr>
          <w:p>
            <w:pPr>
              <w:pStyle w:val="TableParagraph"/>
              <w:spacing w:before="83"/>
              <w:ind w:left="114" w:right="107"/>
              <w:jc w:val="center"/>
              <w:rPr>
                <w:b/>
                <w:sz w:val="18"/>
              </w:rPr>
            </w:pPr>
            <w:r>
              <w:rPr>
                <w:b/>
                <w:color w:val="231F20"/>
                <w:sz w:val="18"/>
              </w:rPr>
              <w:t>HP</w:t>
            </w:r>
          </w:p>
        </w:tc>
        <w:tc>
          <w:tcPr>
            <w:tcW w:w="3966" w:type="dxa"/>
          </w:tcPr>
          <w:p>
            <w:pPr>
              <w:pStyle w:val="TableParagraph"/>
              <w:spacing w:before="83"/>
              <w:ind w:left="113"/>
              <w:rPr>
                <w:b/>
                <w:sz w:val="18"/>
              </w:rPr>
            </w:pPr>
            <w:r>
              <w:rPr>
                <w:b/>
                <w:color w:val="231F20"/>
                <w:sz w:val="18"/>
              </w:rPr>
              <w:t>Prepare Urban Forest Technical Manual</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84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91"/>
              <w:ind w:left="113"/>
              <w:rPr>
                <w:sz w:val="18"/>
              </w:rPr>
            </w:pPr>
            <w:r>
              <w:rPr>
                <w:color w:val="231F20"/>
                <w:sz w:val="18"/>
              </w:rPr>
              <w:t>Public tree pruning guidelines.</w:t>
            </w:r>
          </w:p>
          <w:p>
            <w:pPr>
              <w:pStyle w:val="TableParagraph"/>
              <w:spacing w:line="203" w:lineRule="exact" w:before="50"/>
              <w:ind w:left="113"/>
              <w:rPr>
                <w:sz w:val="18"/>
              </w:rPr>
            </w:pPr>
            <w:r>
              <w:rPr>
                <w:color w:val="231F20"/>
                <w:sz w:val="18"/>
              </w:rPr>
              <w:t>Defines scope of pruning works to Council trees</w:t>
            </w:r>
          </w:p>
          <w:p>
            <w:pPr>
              <w:pStyle w:val="TableParagraph"/>
              <w:spacing w:line="203" w:lineRule="exact"/>
              <w:ind w:left="113"/>
              <w:rPr>
                <w:sz w:val="18"/>
              </w:rPr>
            </w:pPr>
            <w:r>
              <w:rPr>
                <w:color w:val="231F20"/>
                <w:sz w:val="18"/>
              </w:rPr>
              <w:t>— for public and contractor information (STMP)</w:t>
            </w:r>
          </w:p>
        </w:tc>
        <w:tc>
          <w:tcPr>
            <w:tcW w:w="4252" w:type="dxa"/>
          </w:tcPr>
          <w:p>
            <w:pPr>
              <w:pStyle w:val="TableParagraph"/>
              <w:spacing w:before="5"/>
              <w:rPr>
                <w:sz w:val="29"/>
              </w:rPr>
            </w:pPr>
          </w:p>
          <w:p>
            <w:pPr>
              <w:pStyle w:val="TableParagraph"/>
              <w:ind w:left="113"/>
              <w:rPr>
                <w:b/>
                <w:sz w:val="18"/>
              </w:rPr>
            </w:pPr>
            <w:r>
              <w:rPr>
                <w:b/>
                <w:color w:val="231F20"/>
                <w:sz w:val="18"/>
              </w:rPr>
              <w:t>Guide prepared</w:t>
            </w:r>
          </w:p>
        </w:tc>
        <w:tc>
          <w:tcPr>
            <w:tcW w:w="850" w:type="dxa"/>
          </w:tcPr>
          <w:p>
            <w:pPr>
              <w:pStyle w:val="TableParagraph"/>
              <w:spacing w:before="3"/>
              <w:rPr>
                <w:sz w:val="25"/>
              </w:rPr>
            </w:pPr>
          </w:p>
          <w:p>
            <w:pPr>
              <w:pStyle w:val="TableParagraph"/>
              <w:ind w:left="5"/>
              <w:jc w:val="center"/>
              <w:rPr>
                <w:rFonts w:ascii="Arial"/>
                <w:sz w:val="24"/>
              </w:rPr>
            </w:pPr>
            <w:r>
              <w:rPr>
                <w:rFonts w:ascii="Arial"/>
                <w:color w:val="1BB78D"/>
                <w:w w:val="336"/>
                <w:sz w:val="24"/>
              </w:rPr>
              <w:t>l</w:t>
            </w:r>
          </w:p>
        </w:tc>
      </w:tr>
      <w:tr>
        <w:trPr>
          <w:trHeight w:val="84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91"/>
              <w:ind w:left="113"/>
              <w:rPr>
                <w:sz w:val="18"/>
              </w:rPr>
            </w:pPr>
            <w:r>
              <w:rPr>
                <w:color w:val="231F20"/>
                <w:sz w:val="18"/>
              </w:rPr>
              <w:t>Energy Australia guidelines for work around.</w:t>
            </w:r>
          </w:p>
          <w:p>
            <w:pPr>
              <w:pStyle w:val="TableParagraph"/>
              <w:spacing w:line="232" w:lineRule="auto" w:before="55"/>
              <w:ind w:left="113" w:right="185"/>
              <w:rPr>
                <w:sz w:val="18"/>
              </w:rPr>
            </w:pPr>
            <w:r>
              <w:rPr>
                <w:color w:val="231F20"/>
                <w:sz w:val="18"/>
              </w:rPr>
              <w:t>electrical wires Liaise Collaborate with other Councils to improve Industry standard for work around wires</w:t>
            </w:r>
          </w:p>
        </w:tc>
        <w:tc>
          <w:tcPr>
            <w:tcW w:w="4252" w:type="dxa"/>
          </w:tcPr>
          <w:p>
            <w:pPr>
              <w:pStyle w:val="TableParagraph"/>
              <w:spacing w:before="5"/>
              <w:rPr>
                <w:sz w:val="29"/>
              </w:rPr>
            </w:pPr>
          </w:p>
          <w:p>
            <w:pPr>
              <w:pStyle w:val="TableParagraph"/>
              <w:ind w:left="113"/>
              <w:rPr>
                <w:sz w:val="18"/>
              </w:rPr>
            </w:pPr>
            <w:r>
              <w:rPr>
                <w:b/>
                <w:color w:val="231F20"/>
                <w:sz w:val="18"/>
              </w:rPr>
              <w:t>Liaison &amp; collaboration </w:t>
            </w:r>
            <w:r>
              <w:rPr>
                <w:color w:val="231F20"/>
                <w:sz w:val="18"/>
              </w:rPr>
              <w:t>carried out</w:t>
            </w:r>
          </w:p>
        </w:tc>
        <w:tc>
          <w:tcPr>
            <w:tcW w:w="850" w:type="dxa"/>
          </w:tcPr>
          <w:p>
            <w:pPr>
              <w:pStyle w:val="TableParagraph"/>
              <w:spacing w:before="3"/>
              <w:rPr>
                <w:sz w:val="25"/>
              </w:rPr>
            </w:pPr>
          </w:p>
          <w:p>
            <w:pPr>
              <w:pStyle w:val="TableParagraph"/>
              <w:ind w:left="5"/>
              <w:jc w:val="center"/>
              <w:rPr>
                <w:rFonts w:ascii="Arial"/>
                <w:sz w:val="24"/>
              </w:rPr>
            </w:pPr>
            <w:r>
              <w:rPr>
                <w:rFonts w:ascii="Arial"/>
                <w:color w:val="1BB78D"/>
                <w:w w:val="336"/>
                <w:sz w:val="24"/>
              </w:rPr>
              <w:t>l</w:t>
            </w:r>
          </w:p>
        </w:tc>
      </w:tr>
      <w:tr>
        <w:trPr>
          <w:trHeight w:val="1242"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23"/>
              <w:ind w:left="113" w:right="235"/>
              <w:rPr>
                <w:sz w:val="18"/>
              </w:rPr>
            </w:pPr>
            <w:r>
              <w:rPr>
                <w:color w:val="231F20"/>
                <w:sz w:val="18"/>
              </w:rPr>
              <w:t>Public tree risk guidelines and procedures — insurance claims on Council owned trees. Defines scope of  works to Council trees to manage risk — for public</w:t>
            </w:r>
            <w:r>
              <w:rPr>
                <w:color w:val="231F20"/>
                <w:spacing w:val="-25"/>
                <w:sz w:val="18"/>
              </w:rPr>
              <w:t> </w:t>
            </w:r>
            <w:r>
              <w:rPr>
                <w:color w:val="231F20"/>
                <w:sz w:val="18"/>
              </w:rPr>
              <w:t>and</w:t>
            </w:r>
          </w:p>
          <w:p>
            <w:pPr>
              <w:pStyle w:val="TableParagraph"/>
              <w:spacing w:line="232" w:lineRule="auto"/>
              <w:ind w:left="113" w:right="176"/>
              <w:rPr>
                <w:sz w:val="18"/>
              </w:rPr>
            </w:pPr>
            <w:r>
              <w:rPr>
                <w:color w:val="231F20"/>
                <w:sz w:val="18"/>
              </w:rPr>
              <w:t>contractor information. Councillor endorsement of vision and scope</w:t>
            </w:r>
          </w:p>
        </w:tc>
        <w:tc>
          <w:tcPr>
            <w:tcW w:w="4252" w:type="dxa"/>
          </w:tcPr>
          <w:p>
            <w:pPr>
              <w:pStyle w:val="TableParagraph"/>
              <w:rPr>
                <w:sz w:val="20"/>
              </w:rPr>
            </w:pPr>
          </w:p>
          <w:p>
            <w:pPr>
              <w:pStyle w:val="TableParagraph"/>
              <w:spacing w:before="8"/>
              <w:rPr>
                <w:sz w:val="26"/>
              </w:rPr>
            </w:pPr>
          </w:p>
          <w:p>
            <w:pPr>
              <w:pStyle w:val="TableParagraph"/>
              <w:spacing w:before="1"/>
              <w:ind w:left="113"/>
              <w:rPr>
                <w:b/>
                <w:sz w:val="18"/>
              </w:rPr>
            </w:pPr>
            <w:r>
              <w:rPr>
                <w:b/>
                <w:color w:val="231F20"/>
                <w:sz w:val="18"/>
              </w:rPr>
              <w:t>Guide prepared</w:t>
            </w:r>
          </w:p>
        </w:tc>
        <w:tc>
          <w:tcPr>
            <w:tcW w:w="850" w:type="dxa"/>
          </w:tcPr>
          <w:p>
            <w:pPr>
              <w:pStyle w:val="TableParagraph"/>
              <w:rPr>
                <w:sz w:val="26"/>
              </w:rPr>
            </w:pPr>
          </w:p>
          <w:p>
            <w:pPr>
              <w:pStyle w:val="TableParagraph"/>
              <w:spacing w:before="190"/>
              <w:ind w:left="5"/>
              <w:jc w:val="center"/>
              <w:rPr>
                <w:rFonts w:ascii="Arial"/>
                <w:sz w:val="24"/>
              </w:rPr>
            </w:pPr>
            <w:r>
              <w:rPr>
                <w:rFonts w:ascii="Arial"/>
                <w:color w:val="1BB78D"/>
                <w:w w:val="336"/>
                <w:sz w:val="24"/>
              </w:rPr>
              <w:t>l</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09"/>
              <w:ind w:left="113" w:right="184"/>
              <w:rPr>
                <w:sz w:val="18"/>
              </w:rPr>
            </w:pPr>
            <w:r>
              <w:rPr>
                <w:color w:val="231F20"/>
                <w:sz w:val="18"/>
              </w:rPr>
              <w:t>Public tree planting and establishment maintenance guidelines. Defines scope of planting and establishment maintenance works to Council trees — for public and contractor info</w:t>
            </w:r>
          </w:p>
        </w:tc>
        <w:tc>
          <w:tcPr>
            <w:tcW w:w="4252" w:type="dxa"/>
          </w:tcPr>
          <w:p>
            <w:pPr>
              <w:pStyle w:val="TableParagraph"/>
              <w:rPr>
                <w:sz w:val="20"/>
              </w:rPr>
            </w:pPr>
          </w:p>
          <w:p>
            <w:pPr>
              <w:pStyle w:val="TableParagraph"/>
              <w:spacing w:before="10"/>
              <w:rPr>
                <w:sz w:val="16"/>
              </w:rPr>
            </w:pPr>
          </w:p>
          <w:p>
            <w:pPr>
              <w:pStyle w:val="TableParagraph"/>
              <w:ind w:left="113"/>
              <w:rPr>
                <w:b/>
                <w:sz w:val="18"/>
              </w:rPr>
            </w:pPr>
            <w:r>
              <w:rPr>
                <w:b/>
                <w:color w:val="231F20"/>
                <w:sz w:val="18"/>
              </w:rPr>
              <w:t>Guide prepared</w:t>
            </w:r>
          </w:p>
        </w:tc>
        <w:tc>
          <w:tcPr>
            <w:tcW w:w="850" w:type="dxa"/>
          </w:tcPr>
          <w:p>
            <w:pPr>
              <w:pStyle w:val="TableParagraph"/>
              <w:spacing w:before="7"/>
              <w:rPr>
                <w:sz w:val="32"/>
              </w:rPr>
            </w:pPr>
          </w:p>
          <w:p>
            <w:pPr>
              <w:pStyle w:val="TableParagraph"/>
              <w:spacing w:before="1"/>
              <w:ind w:left="5"/>
              <w:jc w:val="center"/>
              <w:rPr>
                <w:rFonts w:ascii="Arial"/>
                <w:sz w:val="24"/>
              </w:rPr>
            </w:pPr>
            <w:r>
              <w:rPr>
                <w:rFonts w:ascii="Arial"/>
                <w:color w:val="1BB78D"/>
                <w:w w:val="336"/>
                <w:sz w:val="24"/>
              </w:rPr>
              <w:t>l</w:t>
            </w:r>
          </w:p>
        </w:tc>
      </w:tr>
      <w:tr>
        <w:trPr>
          <w:trHeight w:val="84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24"/>
              <w:ind w:left="113" w:right="686"/>
              <w:rPr>
                <w:sz w:val="18"/>
              </w:rPr>
            </w:pPr>
            <w:r>
              <w:rPr>
                <w:color w:val="231F20"/>
                <w:sz w:val="18"/>
              </w:rPr>
              <w:t>Protocol for high significance trees /Use of ABC in strategic areas/ Life cycle management — Methodology / quality control</w:t>
            </w:r>
          </w:p>
        </w:tc>
        <w:tc>
          <w:tcPr>
            <w:tcW w:w="4252" w:type="dxa"/>
          </w:tcPr>
          <w:p>
            <w:pPr>
              <w:pStyle w:val="TableParagraph"/>
              <w:spacing w:before="9"/>
              <w:rPr>
                <w:sz w:val="27"/>
              </w:rPr>
            </w:pPr>
          </w:p>
          <w:p>
            <w:pPr>
              <w:pStyle w:val="TableParagraph"/>
              <w:ind w:left="113"/>
              <w:rPr>
                <w:sz w:val="18"/>
              </w:rPr>
            </w:pPr>
            <w:r>
              <w:rPr>
                <w:color w:val="231F20"/>
                <w:sz w:val="18"/>
              </w:rPr>
              <w:t>Included in STMP</w:t>
            </w:r>
          </w:p>
        </w:tc>
        <w:tc>
          <w:tcPr>
            <w:tcW w:w="850" w:type="dxa"/>
          </w:tcPr>
          <w:p>
            <w:pPr>
              <w:pStyle w:val="TableParagraph"/>
              <w:spacing w:before="3"/>
              <w:rPr>
                <w:sz w:val="25"/>
              </w:rPr>
            </w:pPr>
          </w:p>
          <w:p>
            <w:pPr>
              <w:pStyle w:val="TableParagraph"/>
              <w:ind w:left="5"/>
              <w:jc w:val="center"/>
              <w:rPr>
                <w:rFonts w:ascii="Arial"/>
                <w:sz w:val="24"/>
              </w:rPr>
            </w:pPr>
            <w:r>
              <w:rPr>
                <w:rFonts w:ascii="Arial"/>
                <w:color w:val="1BB78D"/>
                <w:w w:val="336"/>
                <w:sz w:val="24"/>
              </w:rPr>
              <w:t>l</w:t>
            </w:r>
          </w:p>
        </w:tc>
      </w:tr>
    </w:tbl>
    <w:p>
      <w:pPr>
        <w:spacing w:after="0"/>
        <w:jc w:val="center"/>
        <w:rPr>
          <w:rFonts w:ascii="Arial"/>
          <w:sz w:val="24"/>
        </w:rPr>
        <w:sectPr>
          <w:pgSz w:w="11910" w:h="16840"/>
          <w:pgMar w:header="0" w:footer="779" w:top="540" w:bottom="960" w:left="460" w:right="440"/>
        </w:sectPr>
      </w:pPr>
    </w:p>
    <w:p>
      <w:pPr>
        <w:pStyle w:val="BodyText"/>
        <w:ind w:left="387"/>
        <w:rPr>
          <w:sz w:val="20"/>
        </w:rPr>
      </w:pPr>
      <w:r>
        <w:rPr>
          <w:sz w:val="20"/>
        </w:rPr>
        <w:pict>
          <v:group style="width:524.450pt;height:77.25pt;mso-position-horizontal-relative:char;mso-position-vertical-relative:line" coordorigin="0,0" coordsize="10489,1545">
            <v:line style="position:absolute" from="10488,1491" to="0,1491" stroked="true" strokeweight=".25pt" strokecolor="#808285">
              <v:stroke dashstyle="solid"/>
            </v:line>
            <v:line style="position:absolute" from="7092,0" to="7092,1501" stroked="true" strokeweight=".25pt" strokecolor="#808285">
              <v:stroke dashstyle="solid"/>
            </v:line>
            <v:shape style="position:absolute;left:7379;top:442;width:3016;height:1102" type="#_x0000_t202" filled="false" stroked="false">
              <v:textbox inset="0,0,0,0">
                <w:txbxContent>
                  <w:p>
                    <w:pPr>
                      <w:spacing w:line="1100" w:lineRule="exact" w:before="0"/>
                      <w:ind w:left="0" w:right="0" w:firstLine="0"/>
                      <w:jc w:val="left"/>
                      <w:rPr>
                        <w:b/>
                        <w:sz w:val="96"/>
                      </w:rPr>
                    </w:pPr>
                    <w:r>
                      <w:rPr>
                        <w:b/>
                        <w:i/>
                        <w:color w:val="231F20"/>
                        <w:sz w:val="24"/>
                      </w:rPr>
                      <w:t>Urban Forest Strategy </w:t>
                    </w:r>
                    <w:r>
                      <w:rPr>
                        <w:b/>
                        <w:color w:val="808285"/>
                        <w:sz w:val="96"/>
                      </w:rPr>
                      <w:t>4</w:t>
                    </w:r>
                  </w:p>
                </w:txbxContent>
              </v:textbox>
              <w10:wrap type="none"/>
            </v:shape>
            <v:shape style="position:absolute;left:7760;top:816;width:1907;height:276" type="#_x0000_t202" filled="false" stroked="false">
              <v:textbox inset="0,0,0,0">
                <w:txbxContent>
                  <w:p>
                    <w:pPr>
                      <w:spacing w:line="275" w:lineRule="exact" w:before="0"/>
                      <w:ind w:left="0" w:right="0" w:firstLine="0"/>
                      <w:jc w:val="left"/>
                      <w:rPr>
                        <w:i/>
                        <w:sz w:val="24"/>
                      </w:rPr>
                    </w:pPr>
                    <w:r>
                      <w:rPr>
                        <w:i/>
                        <w:color w:val="231F20"/>
                        <w:sz w:val="24"/>
                      </w:rPr>
                      <w:t>Marrickville Council</w:t>
                    </w:r>
                  </w:p>
                </w:txbxContent>
              </v:textbox>
              <w10:wrap type="none"/>
            </v:shape>
          </v:group>
        </w:pict>
      </w:r>
      <w:r>
        <w:rPr>
          <w:sz w:val="20"/>
        </w:rPr>
      </w:r>
    </w:p>
    <w:p>
      <w:pPr>
        <w:pStyle w:val="BodyText"/>
        <w:spacing w:before="8"/>
        <w:rPr>
          <w:sz w:val="29"/>
        </w:rPr>
      </w:pPr>
    </w:p>
    <w:tbl>
      <w:tblPr>
        <w:tblW w:w="0" w:type="auto"/>
        <w:jc w:val="left"/>
        <w:tblInd w:w="3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850"/>
        <w:gridCol w:w="3966"/>
        <w:gridCol w:w="4252"/>
        <w:gridCol w:w="850"/>
      </w:tblGrid>
      <w:tr>
        <w:trPr>
          <w:trHeight w:val="448" w:hRule="atLeast"/>
        </w:trPr>
        <w:tc>
          <w:tcPr>
            <w:tcW w:w="567" w:type="dxa"/>
          </w:tcPr>
          <w:p>
            <w:pPr>
              <w:pStyle w:val="TableParagraph"/>
              <w:spacing w:before="140"/>
              <w:ind w:right="157"/>
              <w:jc w:val="right"/>
              <w:rPr>
                <w:b/>
                <w:sz w:val="18"/>
              </w:rPr>
            </w:pPr>
            <w:r>
              <w:rPr>
                <w:b/>
                <w:color w:val="231F20"/>
                <w:sz w:val="18"/>
              </w:rPr>
              <w:t>No.</w:t>
            </w:r>
          </w:p>
        </w:tc>
        <w:tc>
          <w:tcPr>
            <w:tcW w:w="850" w:type="dxa"/>
          </w:tcPr>
          <w:p>
            <w:pPr>
              <w:pStyle w:val="TableParagraph"/>
              <w:spacing w:before="140"/>
              <w:ind w:left="113" w:right="108"/>
              <w:jc w:val="center"/>
              <w:rPr>
                <w:b/>
                <w:sz w:val="18"/>
              </w:rPr>
            </w:pPr>
            <w:r>
              <w:rPr>
                <w:b/>
                <w:color w:val="231F20"/>
                <w:sz w:val="18"/>
              </w:rPr>
              <w:t>Priority</w:t>
            </w:r>
          </w:p>
        </w:tc>
        <w:tc>
          <w:tcPr>
            <w:tcW w:w="3966" w:type="dxa"/>
          </w:tcPr>
          <w:p>
            <w:pPr>
              <w:pStyle w:val="TableParagraph"/>
              <w:spacing w:before="140"/>
              <w:ind w:left="1692" w:right="1687"/>
              <w:jc w:val="center"/>
              <w:rPr>
                <w:b/>
                <w:sz w:val="18"/>
              </w:rPr>
            </w:pPr>
            <w:r>
              <w:rPr>
                <w:b/>
                <w:color w:val="231F20"/>
                <w:sz w:val="18"/>
              </w:rPr>
              <w:t>Actions</w:t>
            </w:r>
          </w:p>
        </w:tc>
        <w:tc>
          <w:tcPr>
            <w:tcW w:w="4252" w:type="dxa"/>
          </w:tcPr>
          <w:p>
            <w:pPr>
              <w:pStyle w:val="TableParagraph"/>
              <w:spacing w:before="140"/>
              <w:ind w:left="1786" w:right="1781"/>
              <w:jc w:val="center"/>
              <w:rPr>
                <w:b/>
                <w:sz w:val="18"/>
              </w:rPr>
            </w:pPr>
            <w:r>
              <w:rPr>
                <w:b/>
                <w:color w:val="231F20"/>
                <w:sz w:val="18"/>
              </w:rPr>
              <w:t>Outcome</w:t>
            </w:r>
          </w:p>
        </w:tc>
        <w:tc>
          <w:tcPr>
            <w:tcW w:w="850" w:type="dxa"/>
          </w:tcPr>
          <w:p>
            <w:pPr>
              <w:pStyle w:val="TableParagraph"/>
              <w:spacing w:before="140"/>
              <w:ind w:left="114" w:right="108"/>
              <w:jc w:val="center"/>
              <w:rPr>
                <w:b/>
                <w:sz w:val="18"/>
              </w:rPr>
            </w:pPr>
            <w:r>
              <w:rPr>
                <w:b/>
                <w:color w:val="231F20"/>
                <w:sz w:val="18"/>
              </w:rPr>
              <w:t>Funding</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HP</w:t>
            </w:r>
          </w:p>
        </w:tc>
        <w:tc>
          <w:tcPr>
            <w:tcW w:w="3966" w:type="dxa"/>
          </w:tcPr>
          <w:p>
            <w:pPr>
              <w:pStyle w:val="TableParagraph"/>
              <w:spacing w:line="183" w:lineRule="exact" w:before="19"/>
              <w:ind w:left="113"/>
              <w:rPr>
                <w:sz w:val="16"/>
              </w:rPr>
            </w:pPr>
            <w:r>
              <w:rPr>
                <w:color w:val="231F20"/>
                <w:sz w:val="16"/>
              </w:rPr>
              <w:t>High Priority</w:t>
            </w:r>
          </w:p>
        </w:tc>
        <w:tc>
          <w:tcPr>
            <w:tcW w:w="4252" w:type="dxa"/>
          </w:tcPr>
          <w:p>
            <w:pPr>
              <w:pStyle w:val="TableParagraph"/>
              <w:spacing w:line="183" w:lineRule="exact" w:before="19"/>
              <w:ind w:left="1032"/>
              <w:rPr>
                <w:sz w:val="16"/>
              </w:rPr>
            </w:pPr>
            <w:r>
              <w:rPr>
                <w:color w:val="231F20"/>
                <w:sz w:val="16"/>
              </w:rPr>
              <w:t>Require substantial additional funding</w:t>
            </w:r>
          </w:p>
        </w:tc>
        <w:tc>
          <w:tcPr>
            <w:tcW w:w="850" w:type="dxa"/>
          </w:tcPr>
          <w:p>
            <w:pPr>
              <w:pStyle w:val="TableParagraph"/>
              <w:spacing w:line="202" w:lineRule="exact"/>
              <w:ind w:left="5"/>
              <w:jc w:val="center"/>
              <w:rPr>
                <w:rFonts w:ascii="Arial" w:hAnsi="Arial"/>
                <w:b/>
                <w:sz w:val="24"/>
              </w:rPr>
            </w:pPr>
            <w:r>
              <w:rPr>
                <w:rFonts w:ascii="Arial" w:hAnsi="Arial"/>
                <w:b/>
                <w:color w:val="D34D49"/>
                <w:sz w:val="24"/>
              </w:rPr>
              <w:t>■</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MP</w:t>
            </w:r>
          </w:p>
        </w:tc>
        <w:tc>
          <w:tcPr>
            <w:tcW w:w="3966" w:type="dxa"/>
          </w:tcPr>
          <w:p>
            <w:pPr>
              <w:pStyle w:val="TableParagraph"/>
              <w:spacing w:line="183" w:lineRule="exact" w:before="19"/>
              <w:ind w:left="113"/>
              <w:rPr>
                <w:sz w:val="16"/>
              </w:rPr>
            </w:pPr>
            <w:r>
              <w:rPr>
                <w:color w:val="231F20"/>
                <w:sz w:val="16"/>
              </w:rPr>
              <w:t>Medium Priority</w:t>
            </w:r>
          </w:p>
        </w:tc>
        <w:tc>
          <w:tcPr>
            <w:tcW w:w="4252" w:type="dxa"/>
          </w:tcPr>
          <w:p>
            <w:pPr>
              <w:pStyle w:val="TableParagraph"/>
              <w:spacing w:line="183" w:lineRule="exact" w:before="19"/>
              <w:ind w:left="1163"/>
              <w:rPr>
                <w:sz w:val="16"/>
              </w:rPr>
            </w:pPr>
            <w:r>
              <w:rPr>
                <w:color w:val="231F20"/>
                <w:sz w:val="16"/>
              </w:rPr>
              <w:t>Some additional funding required</w:t>
            </w:r>
          </w:p>
        </w:tc>
        <w:tc>
          <w:tcPr>
            <w:tcW w:w="850" w:type="dxa"/>
          </w:tcPr>
          <w:p>
            <w:pPr>
              <w:pStyle w:val="TableParagraph"/>
              <w:spacing w:line="202" w:lineRule="exact"/>
              <w:ind w:left="5"/>
              <w:jc w:val="center"/>
              <w:rPr>
                <w:rFonts w:ascii="Arial"/>
                <w:sz w:val="24"/>
              </w:rPr>
            </w:pPr>
            <w:r>
              <w:rPr>
                <w:rFonts w:ascii="Arial"/>
                <w:color w:val="FDB933"/>
                <w:w w:val="268"/>
                <w:sz w:val="24"/>
              </w:rPr>
              <w:t>t</w:t>
            </w:r>
          </w:p>
        </w:tc>
      </w:tr>
      <w:tr>
        <w:trPr>
          <w:trHeight w:val="214" w:hRule="atLeast"/>
        </w:trPr>
        <w:tc>
          <w:tcPr>
            <w:tcW w:w="567" w:type="dxa"/>
            <w:tcBorders>
              <w:bottom w:val="single" w:sz="8" w:space="0" w:color="231F20"/>
            </w:tcBorders>
          </w:tcPr>
          <w:p>
            <w:pPr>
              <w:pStyle w:val="TableParagraph"/>
              <w:rPr>
                <w:rFonts w:ascii="Times New Roman"/>
                <w:sz w:val="14"/>
              </w:rPr>
            </w:pPr>
          </w:p>
        </w:tc>
        <w:tc>
          <w:tcPr>
            <w:tcW w:w="850" w:type="dxa"/>
            <w:tcBorders>
              <w:bottom w:val="single" w:sz="8" w:space="0" w:color="231F20"/>
            </w:tcBorders>
          </w:tcPr>
          <w:p>
            <w:pPr>
              <w:pStyle w:val="TableParagraph"/>
              <w:spacing w:line="172" w:lineRule="exact" w:before="22"/>
              <w:ind w:left="114" w:right="107"/>
              <w:jc w:val="center"/>
              <w:rPr>
                <w:b/>
                <w:sz w:val="18"/>
              </w:rPr>
            </w:pPr>
            <w:r>
              <w:rPr>
                <w:b/>
                <w:color w:val="231F20"/>
                <w:sz w:val="18"/>
              </w:rPr>
              <w:t>LP</w:t>
            </w:r>
          </w:p>
        </w:tc>
        <w:tc>
          <w:tcPr>
            <w:tcW w:w="3966" w:type="dxa"/>
            <w:tcBorders>
              <w:bottom w:val="single" w:sz="8" w:space="0" w:color="231F20"/>
            </w:tcBorders>
          </w:tcPr>
          <w:p>
            <w:pPr>
              <w:pStyle w:val="TableParagraph"/>
              <w:spacing w:line="179" w:lineRule="exact" w:before="15"/>
              <w:ind w:left="113"/>
              <w:rPr>
                <w:sz w:val="16"/>
              </w:rPr>
            </w:pPr>
            <w:r>
              <w:rPr>
                <w:color w:val="231F20"/>
                <w:sz w:val="16"/>
              </w:rPr>
              <w:t>Low Priority</w:t>
            </w:r>
          </w:p>
        </w:tc>
        <w:tc>
          <w:tcPr>
            <w:tcW w:w="4252" w:type="dxa"/>
            <w:tcBorders>
              <w:bottom w:val="single" w:sz="8" w:space="0" w:color="231F20"/>
            </w:tcBorders>
          </w:tcPr>
          <w:p>
            <w:pPr>
              <w:pStyle w:val="TableParagraph"/>
              <w:spacing w:line="179" w:lineRule="exact" w:before="15"/>
              <w:ind w:left="313"/>
              <w:rPr>
                <w:sz w:val="16"/>
              </w:rPr>
            </w:pPr>
            <w:r>
              <w:rPr>
                <w:color w:val="231F20"/>
                <w:sz w:val="16"/>
              </w:rPr>
              <w:t>Little / no additional funding required — use existing resources</w:t>
            </w:r>
          </w:p>
        </w:tc>
        <w:tc>
          <w:tcPr>
            <w:tcW w:w="850" w:type="dxa"/>
            <w:tcBorders>
              <w:bottom w:val="single" w:sz="8" w:space="0" w:color="231F20"/>
            </w:tcBorders>
          </w:tcPr>
          <w:p>
            <w:pPr>
              <w:pStyle w:val="TableParagraph"/>
              <w:spacing w:line="194" w:lineRule="exact"/>
              <w:ind w:left="5"/>
              <w:jc w:val="center"/>
              <w:rPr>
                <w:rFonts w:ascii="Arial"/>
                <w:sz w:val="24"/>
              </w:rPr>
            </w:pPr>
            <w:r>
              <w:rPr>
                <w:rFonts w:ascii="Arial"/>
                <w:color w:val="1BB78D"/>
                <w:w w:val="336"/>
                <w:sz w:val="24"/>
              </w:rPr>
              <w:t>l</w:t>
            </w:r>
          </w:p>
        </w:tc>
      </w:tr>
      <w:tr>
        <w:trPr>
          <w:trHeight w:val="448" w:hRule="atLeast"/>
        </w:trPr>
        <w:tc>
          <w:tcPr>
            <w:tcW w:w="567" w:type="dxa"/>
            <w:tcBorders>
              <w:top w:val="single" w:sz="8" w:space="0" w:color="231F20"/>
            </w:tcBorders>
          </w:tcPr>
          <w:p>
            <w:pPr>
              <w:pStyle w:val="TableParagraph"/>
              <w:spacing w:before="140"/>
              <w:ind w:right="214"/>
              <w:jc w:val="right"/>
              <w:rPr>
                <w:b/>
                <w:sz w:val="18"/>
              </w:rPr>
            </w:pPr>
            <w:r>
              <w:rPr>
                <w:b/>
                <w:color w:val="231F20"/>
                <w:sz w:val="18"/>
              </w:rPr>
              <w:t>4</w:t>
            </w:r>
          </w:p>
        </w:tc>
        <w:tc>
          <w:tcPr>
            <w:tcW w:w="850" w:type="dxa"/>
            <w:tcBorders>
              <w:top w:val="single" w:sz="8" w:space="0" w:color="231F20"/>
            </w:tcBorders>
          </w:tcPr>
          <w:p>
            <w:pPr>
              <w:pStyle w:val="TableParagraph"/>
              <w:rPr>
                <w:rFonts w:ascii="Times New Roman"/>
                <w:sz w:val="18"/>
              </w:rPr>
            </w:pPr>
          </w:p>
        </w:tc>
        <w:tc>
          <w:tcPr>
            <w:tcW w:w="9068" w:type="dxa"/>
            <w:gridSpan w:val="3"/>
            <w:tcBorders>
              <w:top w:val="single" w:sz="8" w:space="0" w:color="231F20"/>
            </w:tcBorders>
          </w:tcPr>
          <w:p>
            <w:pPr>
              <w:pStyle w:val="TableParagraph"/>
              <w:spacing w:before="140"/>
              <w:ind w:left="113"/>
              <w:rPr>
                <w:b/>
                <w:sz w:val="18"/>
              </w:rPr>
            </w:pPr>
            <w:r>
              <w:rPr>
                <w:b/>
                <w:color w:val="231F20"/>
                <w:sz w:val="18"/>
              </w:rPr>
              <w:t>Action 4: Involving and Engaging the Community</w:t>
            </w:r>
          </w:p>
        </w:tc>
      </w:tr>
      <w:tr>
        <w:trPr>
          <w:trHeight w:val="335" w:hRule="atLeast"/>
        </w:trPr>
        <w:tc>
          <w:tcPr>
            <w:tcW w:w="567" w:type="dxa"/>
          </w:tcPr>
          <w:p>
            <w:pPr>
              <w:pStyle w:val="TableParagraph"/>
              <w:spacing w:before="83"/>
              <w:ind w:right="173"/>
              <w:jc w:val="right"/>
              <w:rPr>
                <w:b/>
                <w:sz w:val="18"/>
              </w:rPr>
            </w:pPr>
            <w:r>
              <w:rPr>
                <w:b/>
                <w:color w:val="231F20"/>
                <w:sz w:val="18"/>
              </w:rPr>
              <w:t>4.1</w:t>
            </w:r>
          </w:p>
        </w:tc>
        <w:tc>
          <w:tcPr>
            <w:tcW w:w="850" w:type="dxa"/>
          </w:tcPr>
          <w:p>
            <w:pPr>
              <w:pStyle w:val="TableParagraph"/>
              <w:spacing w:before="83"/>
              <w:ind w:left="114" w:right="107"/>
              <w:jc w:val="center"/>
              <w:rPr>
                <w:b/>
                <w:sz w:val="18"/>
              </w:rPr>
            </w:pPr>
            <w:r>
              <w:rPr>
                <w:b/>
                <w:color w:val="231F20"/>
                <w:sz w:val="18"/>
              </w:rPr>
              <w:t>MP</w:t>
            </w:r>
          </w:p>
        </w:tc>
        <w:tc>
          <w:tcPr>
            <w:tcW w:w="3966" w:type="dxa"/>
          </w:tcPr>
          <w:p>
            <w:pPr>
              <w:pStyle w:val="TableParagraph"/>
              <w:spacing w:before="83"/>
              <w:ind w:left="113"/>
              <w:rPr>
                <w:b/>
                <w:sz w:val="18"/>
              </w:rPr>
            </w:pPr>
            <w:r>
              <w:rPr>
                <w:b/>
                <w:color w:val="231F20"/>
                <w:sz w:val="18"/>
              </w:rPr>
              <w:t>Community Support of MUFS Initiatives</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2546"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90"/>
              <w:ind w:left="113" w:right="586"/>
              <w:rPr>
                <w:sz w:val="18"/>
              </w:rPr>
            </w:pPr>
            <w:r>
              <w:rPr>
                <w:color w:val="231F20"/>
                <w:sz w:val="18"/>
              </w:rPr>
              <w:t>Joint Parks &amp; Reserves, Environmental Services and Community Development initiative to develop opportunities to stimulate interest in MUFS and encourage increased tree planting.</w:t>
            </w:r>
          </w:p>
          <w:p>
            <w:pPr>
              <w:pStyle w:val="TableParagraph"/>
              <w:spacing w:line="232" w:lineRule="auto" w:before="55"/>
              <w:ind w:left="113" w:right="111"/>
              <w:rPr>
                <w:sz w:val="18"/>
              </w:rPr>
            </w:pPr>
            <w:r>
              <w:rPr>
                <w:color w:val="231F20"/>
                <w:sz w:val="18"/>
              </w:rPr>
              <w:t>Identify existing Council programs that could have MUFS components added</w:t>
            </w:r>
          </w:p>
          <w:p>
            <w:pPr>
              <w:pStyle w:val="TableParagraph"/>
              <w:spacing w:line="232" w:lineRule="auto" w:before="56"/>
              <w:ind w:left="113" w:right="275"/>
              <w:rPr>
                <w:sz w:val="18"/>
              </w:rPr>
            </w:pPr>
            <w:r>
              <w:rPr>
                <w:color w:val="231F20"/>
                <w:sz w:val="18"/>
              </w:rPr>
              <w:t>Propose other initiatives targeted at raising awareness in MUFS</w:t>
            </w:r>
          </w:p>
          <w:p>
            <w:pPr>
              <w:pStyle w:val="TableParagraph"/>
              <w:spacing w:line="232" w:lineRule="auto" w:before="56"/>
              <w:ind w:left="113" w:right="118"/>
              <w:rPr>
                <w:sz w:val="18"/>
              </w:rPr>
            </w:pPr>
            <w:r>
              <w:rPr>
                <w:color w:val="231F20"/>
                <w:sz w:val="18"/>
              </w:rPr>
              <w:t>Propose initiatives that encourage the community to plant</w:t>
            </w:r>
            <w:r>
              <w:rPr>
                <w:color w:val="231F20"/>
                <w:spacing w:val="-5"/>
                <w:sz w:val="18"/>
              </w:rPr>
              <w:t> </w:t>
            </w:r>
            <w:r>
              <w:rPr>
                <w:color w:val="231F20"/>
                <w:sz w:val="18"/>
              </w:rPr>
              <w:t>trees</w:t>
            </w:r>
            <w:r>
              <w:rPr>
                <w:color w:val="231F20"/>
                <w:spacing w:val="-5"/>
                <w:sz w:val="18"/>
              </w:rPr>
              <w:t> </w:t>
            </w:r>
            <w:r>
              <w:rPr>
                <w:color w:val="231F20"/>
                <w:sz w:val="18"/>
              </w:rPr>
              <w:t>such</w:t>
            </w:r>
            <w:r>
              <w:rPr>
                <w:color w:val="231F20"/>
                <w:spacing w:val="-5"/>
                <w:sz w:val="18"/>
              </w:rPr>
              <w:t> </w:t>
            </w:r>
            <w:r>
              <w:rPr>
                <w:color w:val="231F20"/>
                <w:sz w:val="18"/>
              </w:rPr>
              <w:t>as</w:t>
            </w:r>
            <w:r>
              <w:rPr>
                <w:color w:val="231F20"/>
                <w:spacing w:val="-5"/>
                <w:sz w:val="18"/>
              </w:rPr>
              <w:t> </w:t>
            </w:r>
            <w:r>
              <w:rPr>
                <w:color w:val="231F20"/>
                <w:sz w:val="18"/>
              </w:rPr>
              <w:t>tree</w:t>
            </w:r>
            <w:r>
              <w:rPr>
                <w:color w:val="231F20"/>
                <w:spacing w:val="-5"/>
                <w:sz w:val="18"/>
              </w:rPr>
              <w:t> </w:t>
            </w:r>
            <w:r>
              <w:rPr>
                <w:color w:val="231F20"/>
                <w:sz w:val="18"/>
              </w:rPr>
              <w:t>give</w:t>
            </w:r>
            <w:r>
              <w:rPr>
                <w:color w:val="231F20"/>
                <w:spacing w:val="-5"/>
                <w:sz w:val="18"/>
              </w:rPr>
              <w:t> </w:t>
            </w:r>
            <w:r>
              <w:rPr>
                <w:color w:val="231F20"/>
                <w:sz w:val="18"/>
              </w:rPr>
              <w:t>a</w:t>
            </w:r>
            <w:r>
              <w:rPr>
                <w:color w:val="231F20"/>
                <w:spacing w:val="-5"/>
                <w:sz w:val="18"/>
              </w:rPr>
              <w:t> </w:t>
            </w:r>
            <w:r>
              <w:rPr>
                <w:color w:val="231F20"/>
                <w:sz w:val="18"/>
              </w:rPr>
              <w:t>ways</w:t>
            </w:r>
            <w:r>
              <w:rPr>
                <w:color w:val="231F20"/>
                <w:spacing w:val="-5"/>
                <w:sz w:val="18"/>
              </w:rPr>
              <w:t> </w:t>
            </w:r>
            <w:r>
              <w:rPr>
                <w:color w:val="231F20"/>
                <w:sz w:val="18"/>
              </w:rPr>
              <w:t>/</w:t>
            </w:r>
            <w:r>
              <w:rPr>
                <w:color w:val="231F20"/>
                <w:spacing w:val="-5"/>
                <w:sz w:val="18"/>
              </w:rPr>
              <w:t> </w:t>
            </w:r>
            <w:r>
              <w:rPr>
                <w:color w:val="231F20"/>
                <w:sz w:val="18"/>
              </w:rPr>
              <w:t>community</w:t>
            </w:r>
            <w:r>
              <w:rPr>
                <w:color w:val="231F20"/>
                <w:spacing w:val="-5"/>
                <w:sz w:val="18"/>
              </w:rPr>
              <w:t> </w:t>
            </w:r>
            <w:r>
              <w:rPr>
                <w:color w:val="231F20"/>
                <w:sz w:val="18"/>
              </w:rPr>
              <w:t>planting days/ school arbor day planting</w:t>
            </w:r>
            <w:r>
              <w:rPr>
                <w:color w:val="231F20"/>
                <w:spacing w:val="-8"/>
                <w:sz w:val="18"/>
              </w:rPr>
              <w:t> </w:t>
            </w:r>
            <w:r>
              <w:rPr>
                <w:color w:val="231F20"/>
                <w:sz w:val="18"/>
              </w:rPr>
              <w:t>etc</w:t>
            </w:r>
          </w:p>
        </w:tc>
        <w:tc>
          <w:tcPr>
            <w:tcW w:w="4252"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23"/>
              <w:ind w:left="113"/>
              <w:rPr>
                <w:sz w:val="18"/>
              </w:rPr>
            </w:pPr>
            <w:r>
              <w:rPr>
                <w:color w:val="231F20"/>
                <w:sz w:val="18"/>
              </w:rPr>
              <w:t>Existing Programs identified</w:t>
            </w:r>
          </w:p>
          <w:p>
            <w:pPr>
              <w:pStyle w:val="TableParagraph"/>
              <w:spacing w:before="50"/>
              <w:ind w:left="113"/>
              <w:rPr>
                <w:b/>
                <w:sz w:val="18"/>
              </w:rPr>
            </w:pPr>
            <w:r>
              <w:rPr>
                <w:b/>
                <w:color w:val="231F20"/>
                <w:sz w:val="18"/>
              </w:rPr>
              <w:t>Initiatives proposed</w:t>
            </w:r>
          </w:p>
        </w:tc>
        <w:tc>
          <w:tcPr>
            <w:tcW w:w="850" w:type="dxa"/>
          </w:tcPr>
          <w:p>
            <w:pPr>
              <w:pStyle w:val="TableParagraph"/>
              <w:rPr>
                <w:sz w:val="26"/>
              </w:rPr>
            </w:pPr>
          </w:p>
          <w:p>
            <w:pPr>
              <w:pStyle w:val="TableParagraph"/>
              <w:rPr>
                <w:sz w:val="26"/>
              </w:rPr>
            </w:pPr>
          </w:p>
          <w:p>
            <w:pPr>
              <w:pStyle w:val="TableParagraph"/>
              <w:rPr>
                <w:sz w:val="26"/>
              </w:rPr>
            </w:pPr>
          </w:p>
          <w:p>
            <w:pPr>
              <w:pStyle w:val="TableParagraph"/>
              <w:spacing w:before="4"/>
              <w:rPr>
                <w:sz w:val="21"/>
              </w:rPr>
            </w:pPr>
          </w:p>
          <w:p>
            <w:pPr>
              <w:pStyle w:val="TableParagraph"/>
              <w:ind w:left="5"/>
              <w:jc w:val="center"/>
              <w:rPr>
                <w:rFonts w:ascii="Arial"/>
                <w:sz w:val="24"/>
              </w:rPr>
            </w:pPr>
            <w:r>
              <w:rPr>
                <w:rFonts w:ascii="Arial"/>
                <w:color w:val="1BB78D"/>
                <w:w w:val="336"/>
                <w:sz w:val="24"/>
              </w:rPr>
              <w:t>l</w:t>
            </w:r>
          </w:p>
        </w:tc>
      </w:tr>
      <w:tr>
        <w:trPr>
          <w:trHeight w:val="1582"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97" w:lineRule="auto" w:before="74"/>
              <w:ind w:left="113" w:right="1046"/>
              <w:rPr>
                <w:sz w:val="18"/>
              </w:rPr>
            </w:pPr>
            <w:r>
              <w:rPr>
                <w:color w:val="231F20"/>
                <w:sz w:val="18"/>
              </w:rPr>
              <w:t>Prepare community material/ initiatives Provide the community with information on</w:t>
            </w:r>
          </w:p>
          <w:p>
            <w:pPr>
              <w:pStyle w:val="TableParagraph"/>
              <w:numPr>
                <w:ilvl w:val="0"/>
                <w:numId w:val="20"/>
              </w:numPr>
              <w:tabs>
                <w:tab w:pos="276" w:val="left" w:leader="none"/>
              </w:tabs>
              <w:spacing w:line="232" w:lineRule="auto" w:before="7" w:after="0"/>
              <w:ind w:left="275" w:right="1707" w:hanging="162"/>
              <w:jc w:val="left"/>
              <w:rPr>
                <w:sz w:val="18"/>
              </w:rPr>
            </w:pPr>
            <w:r>
              <w:rPr>
                <w:color w:val="231F20"/>
                <w:sz w:val="18"/>
              </w:rPr>
              <w:t>The Urban Forest Strategy (incl tree species lists see</w:t>
            </w:r>
            <w:r>
              <w:rPr>
                <w:color w:val="231F20"/>
                <w:spacing w:val="-21"/>
                <w:sz w:val="18"/>
              </w:rPr>
              <w:t> </w:t>
            </w:r>
            <w:r>
              <w:rPr>
                <w:color w:val="231F20"/>
                <w:sz w:val="18"/>
              </w:rPr>
              <w:t>2.3)</w:t>
            </w:r>
          </w:p>
          <w:p>
            <w:pPr>
              <w:pStyle w:val="TableParagraph"/>
              <w:numPr>
                <w:ilvl w:val="0"/>
                <w:numId w:val="20"/>
              </w:numPr>
              <w:tabs>
                <w:tab w:pos="276" w:val="left" w:leader="none"/>
              </w:tabs>
              <w:spacing w:line="240" w:lineRule="auto" w:before="51" w:after="0"/>
              <w:ind w:left="275" w:right="0" w:hanging="162"/>
              <w:jc w:val="left"/>
              <w:rPr>
                <w:sz w:val="18"/>
              </w:rPr>
            </w:pPr>
            <w:r>
              <w:rPr>
                <w:color w:val="231F20"/>
                <w:sz w:val="18"/>
              </w:rPr>
              <w:t>Tree Planting</w:t>
            </w:r>
            <w:r>
              <w:rPr>
                <w:color w:val="231F20"/>
                <w:spacing w:val="-1"/>
                <w:sz w:val="18"/>
              </w:rPr>
              <w:t> </w:t>
            </w:r>
            <w:r>
              <w:rPr>
                <w:color w:val="231F20"/>
                <w:sz w:val="18"/>
              </w:rPr>
              <w:t>programs</w:t>
            </w:r>
          </w:p>
          <w:p>
            <w:pPr>
              <w:pStyle w:val="TableParagraph"/>
              <w:numPr>
                <w:ilvl w:val="0"/>
                <w:numId w:val="20"/>
              </w:numPr>
              <w:tabs>
                <w:tab w:pos="278" w:val="left" w:leader="none"/>
              </w:tabs>
              <w:spacing w:line="240" w:lineRule="auto" w:before="50" w:after="0"/>
              <w:ind w:left="277" w:right="0" w:hanging="164"/>
              <w:jc w:val="left"/>
              <w:rPr>
                <w:sz w:val="18"/>
              </w:rPr>
            </w:pPr>
            <w:r>
              <w:rPr>
                <w:color w:val="231F20"/>
                <w:sz w:val="18"/>
              </w:rPr>
              <w:t>Opportunities to become</w:t>
            </w:r>
            <w:r>
              <w:rPr>
                <w:color w:val="231F20"/>
                <w:spacing w:val="-5"/>
                <w:sz w:val="18"/>
              </w:rPr>
              <w:t> </w:t>
            </w:r>
            <w:r>
              <w:rPr>
                <w:color w:val="231F20"/>
                <w:sz w:val="18"/>
              </w:rPr>
              <w:t>involved</w:t>
            </w:r>
          </w:p>
        </w:tc>
        <w:tc>
          <w:tcPr>
            <w:tcW w:w="4252" w:type="dxa"/>
          </w:tcPr>
          <w:p>
            <w:pPr>
              <w:pStyle w:val="TableParagraph"/>
              <w:rPr>
                <w:sz w:val="20"/>
              </w:rPr>
            </w:pPr>
          </w:p>
          <w:p>
            <w:pPr>
              <w:pStyle w:val="TableParagraph"/>
              <w:rPr>
                <w:sz w:val="20"/>
              </w:rPr>
            </w:pPr>
          </w:p>
          <w:p>
            <w:pPr>
              <w:pStyle w:val="TableParagraph"/>
              <w:spacing w:before="6"/>
              <w:rPr>
                <w:sz w:val="21"/>
              </w:rPr>
            </w:pPr>
          </w:p>
          <w:p>
            <w:pPr>
              <w:pStyle w:val="TableParagraph"/>
              <w:ind w:left="113"/>
              <w:rPr>
                <w:sz w:val="18"/>
              </w:rPr>
            </w:pPr>
            <w:r>
              <w:rPr>
                <w:b/>
                <w:color w:val="231F20"/>
                <w:sz w:val="18"/>
              </w:rPr>
              <w:t>Information </w:t>
            </w:r>
            <w:r>
              <w:rPr>
                <w:color w:val="231F20"/>
                <w:sz w:val="18"/>
              </w:rPr>
              <w:t>prepared and disseminated</w:t>
            </w:r>
          </w:p>
        </w:tc>
        <w:tc>
          <w:tcPr>
            <w:tcW w:w="850" w:type="dxa"/>
          </w:tcPr>
          <w:p>
            <w:pPr>
              <w:pStyle w:val="TableParagraph"/>
              <w:rPr>
                <w:sz w:val="26"/>
              </w:rPr>
            </w:pPr>
          </w:p>
          <w:p>
            <w:pPr>
              <w:pStyle w:val="TableParagraph"/>
              <w:spacing w:before="4"/>
              <w:rPr>
                <w:sz w:val="31"/>
              </w:rPr>
            </w:pPr>
          </w:p>
          <w:p>
            <w:pPr>
              <w:pStyle w:val="TableParagraph"/>
              <w:ind w:left="5"/>
              <w:jc w:val="center"/>
              <w:rPr>
                <w:rFonts w:ascii="Arial"/>
                <w:sz w:val="24"/>
              </w:rPr>
            </w:pPr>
            <w:r>
              <w:rPr>
                <w:rFonts w:ascii="Arial"/>
                <w:color w:val="FDB933"/>
                <w:w w:val="268"/>
                <w:sz w:val="24"/>
              </w:rPr>
              <w:t>t</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09"/>
              <w:ind w:left="113" w:right="447"/>
              <w:rPr>
                <w:sz w:val="18"/>
              </w:rPr>
            </w:pPr>
            <w:r>
              <w:rPr>
                <w:color w:val="231F20"/>
                <w:sz w:val="18"/>
              </w:rPr>
              <w:t>Implement Community Support Initiatives To inform and educate the community about the importance and relevance of the Urban Forest to improve its sustainability</w:t>
            </w:r>
          </w:p>
        </w:tc>
        <w:tc>
          <w:tcPr>
            <w:tcW w:w="4252" w:type="dxa"/>
          </w:tcPr>
          <w:p>
            <w:pPr>
              <w:pStyle w:val="TableParagraph"/>
              <w:rPr>
                <w:sz w:val="20"/>
              </w:rPr>
            </w:pPr>
          </w:p>
          <w:p>
            <w:pPr>
              <w:pStyle w:val="TableParagraph"/>
              <w:spacing w:before="10"/>
              <w:rPr>
                <w:sz w:val="16"/>
              </w:rPr>
            </w:pPr>
          </w:p>
          <w:p>
            <w:pPr>
              <w:pStyle w:val="TableParagraph"/>
              <w:ind w:left="113"/>
              <w:rPr>
                <w:b/>
                <w:sz w:val="18"/>
              </w:rPr>
            </w:pPr>
            <w:r>
              <w:rPr>
                <w:b/>
                <w:color w:val="231F20"/>
                <w:sz w:val="18"/>
              </w:rPr>
              <w:t>Initiatives implemented</w:t>
            </w:r>
          </w:p>
        </w:tc>
        <w:tc>
          <w:tcPr>
            <w:tcW w:w="850" w:type="dxa"/>
          </w:tcPr>
          <w:p>
            <w:pPr>
              <w:pStyle w:val="TableParagraph"/>
              <w:spacing w:before="7"/>
              <w:rPr>
                <w:sz w:val="32"/>
              </w:rPr>
            </w:pPr>
          </w:p>
          <w:p>
            <w:pPr>
              <w:pStyle w:val="TableParagraph"/>
              <w:spacing w:before="1"/>
              <w:ind w:left="5"/>
              <w:jc w:val="center"/>
              <w:rPr>
                <w:rFonts w:ascii="Arial"/>
                <w:sz w:val="24"/>
              </w:rPr>
            </w:pPr>
            <w:r>
              <w:rPr>
                <w:rFonts w:ascii="Arial"/>
                <w:color w:val="FDB933"/>
                <w:w w:val="268"/>
                <w:sz w:val="24"/>
              </w:rPr>
              <w:t>t</w:t>
            </w:r>
          </w:p>
        </w:tc>
      </w:tr>
      <w:tr>
        <w:trPr>
          <w:trHeight w:val="675" w:hRule="atLeast"/>
        </w:trPr>
        <w:tc>
          <w:tcPr>
            <w:tcW w:w="567" w:type="dxa"/>
          </w:tcPr>
          <w:p>
            <w:pPr>
              <w:pStyle w:val="TableParagraph"/>
              <w:rPr>
                <w:sz w:val="22"/>
              </w:rPr>
            </w:pPr>
          </w:p>
          <w:p>
            <w:pPr>
              <w:pStyle w:val="TableParagraph"/>
              <w:ind w:right="173"/>
              <w:jc w:val="right"/>
              <w:rPr>
                <w:b/>
                <w:sz w:val="18"/>
              </w:rPr>
            </w:pPr>
            <w:r>
              <w:rPr>
                <w:b/>
                <w:color w:val="231F20"/>
                <w:sz w:val="18"/>
              </w:rPr>
              <w:t>4.2</w:t>
            </w:r>
          </w:p>
        </w:tc>
        <w:tc>
          <w:tcPr>
            <w:tcW w:w="850" w:type="dxa"/>
          </w:tcPr>
          <w:p>
            <w:pPr>
              <w:pStyle w:val="TableParagraph"/>
              <w:rPr>
                <w:sz w:val="22"/>
              </w:rPr>
            </w:pPr>
          </w:p>
          <w:p>
            <w:pPr>
              <w:pStyle w:val="TableParagraph"/>
              <w:ind w:left="114" w:right="107"/>
              <w:jc w:val="center"/>
              <w:rPr>
                <w:b/>
                <w:sz w:val="18"/>
              </w:rPr>
            </w:pPr>
            <w:r>
              <w:rPr>
                <w:b/>
                <w:color w:val="231F20"/>
                <w:sz w:val="18"/>
              </w:rPr>
              <w:t>HP</w:t>
            </w:r>
          </w:p>
        </w:tc>
        <w:tc>
          <w:tcPr>
            <w:tcW w:w="3966" w:type="dxa"/>
          </w:tcPr>
          <w:p>
            <w:pPr>
              <w:pStyle w:val="TableParagraph"/>
              <w:spacing w:line="232" w:lineRule="auto" w:before="158"/>
              <w:ind w:left="113" w:right="596"/>
              <w:rPr>
                <w:b/>
                <w:sz w:val="18"/>
              </w:rPr>
            </w:pPr>
            <w:r>
              <w:rPr>
                <w:b/>
                <w:color w:val="231F20"/>
                <w:sz w:val="18"/>
              </w:rPr>
              <w:t>Prepare public tree community consultation &amp; notification protocol/policy</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1128"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66"/>
              <w:ind w:left="113" w:right="121"/>
              <w:rPr>
                <w:sz w:val="18"/>
              </w:rPr>
            </w:pPr>
            <w:r>
              <w:rPr>
                <w:color w:val="231F20"/>
                <w:sz w:val="18"/>
              </w:rPr>
              <w:t>Review existing tree management consultation &amp; notification protocol/policy and assess effectiveness and resources required to implement </w:t>
            </w:r>
            <w:r>
              <w:rPr>
                <w:color w:val="231F20"/>
                <w:spacing w:val="-9"/>
                <w:sz w:val="18"/>
              </w:rPr>
              <w:t>To </w:t>
            </w:r>
            <w:r>
              <w:rPr>
                <w:color w:val="231F20"/>
                <w:sz w:val="18"/>
              </w:rPr>
              <w:t>assess effectiveness of current practices and </w:t>
            </w:r>
            <w:r>
              <w:rPr>
                <w:color w:val="231F20"/>
                <w:spacing w:val="-9"/>
                <w:sz w:val="18"/>
              </w:rPr>
              <w:t>To </w:t>
            </w:r>
            <w:r>
              <w:rPr>
                <w:color w:val="231F20"/>
                <w:sz w:val="18"/>
              </w:rPr>
              <w:t>determine baseline community expectations and outcomes</w:t>
            </w:r>
          </w:p>
        </w:tc>
        <w:tc>
          <w:tcPr>
            <w:tcW w:w="4252" w:type="dxa"/>
          </w:tcPr>
          <w:p>
            <w:pPr>
              <w:pStyle w:val="TableParagraph"/>
              <w:rPr>
                <w:sz w:val="20"/>
              </w:rPr>
            </w:pPr>
          </w:p>
          <w:p>
            <w:pPr>
              <w:pStyle w:val="TableParagraph"/>
              <w:spacing w:before="9"/>
              <w:rPr>
                <w:sz w:val="21"/>
              </w:rPr>
            </w:pPr>
          </w:p>
          <w:p>
            <w:pPr>
              <w:pStyle w:val="TableParagraph"/>
              <w:ind w:left="113"/>
              <w:rPr>
                <w:b/>
                <w:sz w:val="18"/>
              </w:rPr>
            </w:pPr>
            <w:r>
              <w:rPr>
                <w:color w:val="231F20"/>
                <w:sz w:val="18"/>
              </w:rPr>
              <w:t>Existing protocols reviewed and </w:t>
            </w:r>
            <w:r>
              <w:rPr>
                <w:b/>
                <w:color w:val="231F20"/>
                <w:sz w:val="18"/>
              </w:rPr>
              <w:t>recommendations made</w:t>
            </w:r>
          </w:p>
        </w:tc>
        <w:tc>
          <w:tcPr>
            <w:tcW w:w="850" w:type="dxa"/>
          </w:tcPr>
          <w:p>
            <w:pPr>
              <w:pStyle w:val="TableParagraph"/>
              <w:spacing w:before="7"/>
              <w:rPr>
                <w:sz w:val="37"/>
              </w:rPr>
            </w:pPr>
          </w:p>
          <w:p>
            <w:pPr>
              <w:pStyle w:val="TableParagraph"/>
              <w:ind w:left="47"/>
              <w:jc w:val="center"/>
              <w:rPr>
                <w:rFonts w:ascii="Arial"/>
                <w:sz w:val="24"/>
              </w:rPr>
            </w:pPr>
            <w:r>
              <w:rPr>
                <w:rFonts w:ascii="Arial"/>
                <w:color w:val="1BB78D"/>
                <w:w w:val="336"/>
                <w:sz w:val="24"/>
              </w:rPr>
              <w:t>l</w:t>
            </w:r>
          </w:p>
        </w:tc>
      </w:tr>
      <w:tr>
        <w:trPr>
          <w:trHeight w:val="84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24"/>
              <w:ind w:left="113" w:right="554"/>
              <w:rPr>
                <w:sz w:val="18"/>
              </w:rPr>
            </w:pPr>
            <w:r>
              <w:rPr>
                <w:color w:val="231F20"/>
                <w:sz w:val="18"/>
              </w:rPr>
              <w:t>Revised community consultation &amp; notification methodology developed in liaison with Community Development.</w:t>
            </w:r>
          </w:p>
        </w:tc>
        <w:tc>
          <w:tcPr>
            <w:tcW w:w="4252" w:type="dxa"/>
          </w:tcPr>
          <w:p>
            <w:pPr>
              <w:pStyle w:val="TableParagraph"/>
              <w:spacing w:before="2"/>
              <w:rPr>
                <w:sz w:val="21"/>
              </w:rPr>
            </w:pPr>
          </w:p>
          <w:p>
            <w:pPr>
              <w:pStyle w:val="TableParagraph"/>
              <w:spacing w:line="232" w:lineRule="auto"/>
              <w:ind w:left="113" w:right="512"/>
              <w:rPr>
                <w:b/>
                <w:sz w:val="18"/>
              </w:rPr>
            </w:pPr>
            <w:r>
              <w:rPr>
                <w:color w:val="231F20"/>
                <w:sz w:val="18"/>
              </w:rPr>
              <w:t>Consultation carried out and amended </w:t>
            </w:r>
            <w:r>
              <w:rPr>
                <w:b/>
                <w:color w:val="231F20"/>
                <w:sz w:val="18"/>
              </w:rPr>
              <w:t>protocol/policy prepared.</w:t>
            </w:r>
          </w:p>
        </w:tc>
        <w:tc>
          <w:tcPr>
            <w:tcW w:w="850" w:type="dxa"/>
          </w:tcPr>
          <w:p>
            <w:pPr>
              <w:pStyle w:val="TableParagraph"/>
              <w:spacing w:before="3"/>
              <w:rPr>
                <w:sz w:val="25"/>
              </w:rPr>
            </w:pPr>
          </w:p>
          <w:p>
            <w:pPr>
              <w:pStyle w:val="TableParagraph"/>
              <w:ind w:left="5"/>
              <w:jc w:val="center"/>
              <w:rPr>
                <w:rFonts w:ascii="Arial"/>
                <w:sz w:val="24"/>
              </w:rPr>
            </w:pPr>
            <w:r>
              <w:rPr>
                <w:rFonts w:ascii="Arial"/>
                <w:color w:val="FDB933"/>
                <w:w w:val="268"/>
                <w:sz w:val="24"/>
              </w:rPr>
              <w:t>t</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178"/>
              <w:ind w:left="113"/>
              <w:rPr>
                <w:sz w:val="18"/>
              </w:rPr>
            </w:pPr>
            <w:r>
              <w:rPr>
                <w:color w:val="231F20"/>
                <w:sz w:val="18"/>
              </w:rPr>
              <w:t>Present draft protocol/policy to Council</w:t>
            </w:r>
          </w:p>
        </w:tc>
        <w:tc>
          <w:tcPr>
            <w:tcW w:w="4252" w:type="dxa"/>
          </w:tcPr>
          <w:p>
            <w:pPr>
              <w:pStyle w:val="TableParagraph"/>
              <w:spacing w:line="203" w:lineRule="exact" w:before="96"/>
              <w:ind w:left="113"/>
              <w:rPr>
                <w:sz w:val="18"/>
              </w:rPr>
            </w:pPr>
            <w:r>
              <w:rPr>
                <w:b/>
                <w:color w:val="231F20"/>
                <w:sz w:val="18"/>
              </w:rPr>
              <w:t>Adoption </w:t>
            </w:r>
            <w:r>
              <w:rPr>
                <w:color w:val="231F20"/>
                <w:sz w:val="18"/>
              </w:rPr>
              <w:t>of public tree community consultation &amp; notification</w:t>
            </w:r>
          </w:p>
          <w:p>
            <w:pPr>
              <w:pStyle w:val="TableParagraph"/>
              <w:spacing w:line="203" w:lineRule="exact"/>
              <w:ind w:left="113"/>
              <w:rPr>
                <w:sz w:val="18"/>
              </w:rPr>
            </w:pPr>
            <w:r>
              <w:rPr>
                <w:color w:val="231F20"/>
                <w:sz w:val="18"/>
              </w:rPr>
              <w:t>protocol / policy</w:t>
            </w:r>
          </w:p>
        </w:tc>
        <w:tc>
          <w:tcPr>
            <w:tcW w:w="850" w:type="dxa"/>
          </w:tcPr>
          <w:p>
            <w:pPr>
              <w:pStyle w:val="TableParagraph"/>
              <w:spacing w:before="148"/>
              <w:ind w:left="5"/>
              <w:jc w:val="center"/>
              <w:rPr>
                <w:rFonts w:ascii="Arial"/>
                <w:sz w:val="24"/>
              </w:rPr>
            </w:pPr>
            <w:r>
              <w:rPr>
                <w:rFonts w:ascii="Arial"/>
                <w:color w:val="1BB78D"/>
                <w:w w:val="336"/>
                <w:sz w:val="24"/>
              </w:rPr>
              <w:t>l</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48"/>
              <w:ind w:left="113"/>
              <w:rPr>
                <w:sz w:val="18"/>
              </w:rPr>
            </w:pPr>
            <w:r>
              <w:rPr>
                <w:color w:val="231F20"/>
                <w:sz w:val="18"/>
              </w:rPr>
              <w:t>Implement protocol/policy</w:t>
            </w:r>
          </w:p>
          <w:p>
            <w:pPr>
              <w:pStyle w:val="TableParagraph"/>
              <w:numPr>
                <w:ilvl w:val="0"/>
                <w:numId w:val="21"/>
              </w:numPr>
              <w:tabs>
                <w:tab w:pos="276" w:val="left" w:leader="none"/>
              </w:tabs>
              <w:spacing w:line="203" w:lineRule="exact" w:before="50" w:after="0"/>
              <w:ind w:left="275" w:right="0" w:hanging="162"/>
              <w:jc w:val="left"/>
              <w:rPr>
                <w:sz w:val="18"/>
              </w:rPr>
            </w:pPr>
            <w:r>
              <w:rPr>
                <w:color w:val="231F20"/>
                <w:spacing w:val="-9"/>
                <w:sz w:val="18"/>
              </w:rPr>
              <w:t>To </w:t>
            </w:r>
            <w:r>
              <w:rPr>
                <w:color w:val="231F20"/>
                <w:sz w:val="18"/>
              </w:rPr>
              <w:t>inform community of the extent of consultation</w:t>
            </w:r>
            <w:r>
              <w:rPr>
                <w:color w:val="231F20"/>
                <w:spacing w:val="-20"/>
                <w:sz w:val="18"/>
              </w:rPr>
              <w:t> </w:t>
            </w:r>
            <w:r>
              <w:rPr>
                <w:color w:val="231F20"/>
                <w:sz w:val="18"/>
              </w:rPr>
              <w:t>and</w:t>
            </w:r>
          </w:p>
          <w:p>
            <w:pPr>
              <w:pStyle w:val="TableParagraph"/>
              <w:spacing w:line="203" w:lineRule="exact"/>
              <w:ind w:left="275"/>
              <w:rPr>
                <w:sz w:val="18"/>
              </w:rPr>
            </w:pPr>
            <w:r>
              <w:rPr>
                <w:color w:val="231F20"/>
                <w:sz w:val="18"/>
              </w:rPr>
              <w:t>notification.</w:t>
            </w:r>
          </w:p>
          <w:p>
            <w:pPr>
              <w:pStyle w:val="TableParagraph"/>
              <w:numPr>
                <w:ilvl w:val="0"/>
                <w:numId w:val="21"/>
              </w:numPr>
              <w:tabs>
                <w:tab w:pos="276" w:val="left" w:leader="none"/>
              </w:tabs>
              <w:spacing w:line="240" w:lineRule="auto" w:before="50" w:after="0"/>
              <w:ind w:left="275" w:right="0" w:hanging="162"/>
              <w:jc w:val="left"/>
              <w:rPr>
                <w:sz w:val="18"/>
              </w:rPr>
            </w:pPr>
            <w:r>
              <w:rPr>
                <w:color w:val="231F20"/>
                <w:spacing w:val="-9"/>
                <w:sz w:val="18"/>
              </w:rPr>
              <w:t>To </w:t>
            </w:r>
            <w:r>
              <w:rPr>
                <w:color w:val="231F20"/>
                <w:sz w:val="18"/>
              </w:rPr>
              <w:t>ensure adequate resources are</w:t>
            </w:r>
            <w:r>
              <w:rPr>
                <w:color w:val="231F20"/>
                <w:spacing w:val="0"/>
                <w:sz w:val="18"/>
              </w:rPr>
              <w:t> </w:t>
            </w:r>
            <w:r>
              <w:rPr>
                <w:color w:val="231F20"/>
                <w:sz w:val="18"/>
              </w:rPr>
              <w:t>provided</w:t>
            </w:r>
          </w:p>
        </w:tc>
        <w:tc>
          <w:tcPr>
            <w:tcW w:w="4252" w:type="dxa"/>
          </w:tcPr>
          <w:p>
            <w:pPr>
              <w:pStyle w:val="TableParagraph"/>
              <w:rPr>
                <w:sz w:val="20"/>
              </w:rPr>
            </w:pPr>
          </w:p>
          <w:p>
            <w:pPr>
              <w:pStyle w:val="TableParagraph"/>
              <w:spacing w:before="10"/>
              <w:rPr>
                <w:sz w:val="16"/>
              </w:rPr>
            </w:pPr>
          </w:p>
          <w:p>
            <w:pPr>
              <w:pStyle w:val="TableParagraph"/>
              <w:ind w:left="113"/>
              <w:rPr>
                <w:b/>
                <w:sz w:val="18"/>
              </w:rPr>
            </w:pPr>
            <w:r>
              <w:rPr>
                <w:b/>
                <w:color w:val="231F20"/>
                <w:sz w:val="18"/>
              </w:rPr>
              <w:t>Protocol implemented</w:t>
            </w:r>
          </w:p>
        </w:tc>
        <w:tc>
          <w:tcPr>
            <w:tcW w:w="850" w:type="dxa"/>
          </w:tcPr>
          <w:p>
            <w:pPr>
              <w:pStyle w:val="TableParagraph"/>
              <w:spacing w:before="7"/>
              <w:rPr>
                <w:sz w:val="32"/>
              </w:rPr>
            </w:pPr>
          </w:p>
          <w:p>
            <w:pPr>
              <w:pStyle w:val="TableParagraph"/>
              <w:spacing w:before="1"/>
              <w:ind w:left="5"/>
              <w:jc w:val="center"/>
              <w:rPr>
                <w:rFonts w:ascii="Arial"/>
                <w:sz w:val="24"/>
              </w:rPr>
            </w:pPr>
            <w:r>
              <w:rPr>
                <w:rFonts w:ascii="Arial"/>
                <w:color w:val="1BB78D"/>
                <w:w w:val="336"/>
                <w:sz w:val="24"/>
              </w:rPr>
              <w:t>l</w:t>
            </w:r>
          </w:p>
        </w:tc>
      </w:tr>
    </w:tbl>
    <w:p>
      <w:pPr>
        <w:spacing w:after="0"/>
        <w:jc w:val="center"/>
        <w:rPr>
          <w:rFonts w:ascii="Arial"/>
          <w:sz w:val="24"/>
        </w:rPr>
        <w:sectPr>
          <w:pgSz w:w="11910" w:h="16840"/>
          <w:pgMar w:header="0" w:footer="779" w:top="560" w:bottom="960" w:left="460" w:right="440"/>
        </w:sectPr>
      </w:pPr>
    </w:p>
    <w:p>
      <w:pPr>
        <w:pStyle w:val="BodyText"/>
        <w:ind w:left="-10"/>
        <w:rPr>
          <w:sz w:val="20"/>
        </w:rPr>
      </w:pPr>
      <w:r>
        <w:rPr>
          <w:sz w:val="20"/>
        </w:rPr>
        <w:pict>
          <v:group style="width:530.1pt;height:77.3pt;mso-position-horizontal-relative:char;mso-position-vertical-relative:line" coordorigin="0,0" coordsize="10602,1546">
            <v:line style="position:absolute" from="10602,1492" to="0,1492" stroked="true" strokeweight=".25pt" strokecolor="#808285">
              <v:stroke dashstyle="solid"/>
            </v:line>
            <v:line style="position:absolute" from="3510,0" to="3510,1502" stroked="true" strokeweight=".25pt" strokecolor="#808285">
              <v:stroke dashstyle="solid"/>
            </v:line>
            <v:shape style="position:absolute;left:226;top:443;width:458;height:1102" type="#_x0000_t202" filled="false" stroked="false">
              <v:textbox inset="0,0,0,0">
                <w:txbxContent>
                  <w:p>
                    <w:pPr>
                      <w:spacing w:line="1100" w:lineRule="exact" w:before="0"/>
                      <w:ind w:left="0" w:right="0" w:firstLine="0"/>
                      <w:jc w:val="left"/>
                      <w:rPr>
                        <w:b/>
                        <w:sz w:val="96"/>
                      </w:rPr>
                    </w:pPr>
                    <w:r>
                      <w:rPr>
                        <w:b/>
                        <w:color w:val="808285"/>
                        <w:sz w:val="96"/>
                      </w:rPr>
                      <w:t>4</w:t>
                    </w:r>
                  </w:p>
                </w:txbxContent>
              </v:textbox>
              <w10:wrap type="none"/>
            </v:shape>
            <v:shape style="position:absolute;left:972;top:817;width:2290;height:576" type="#_x0000_t202" filled="false" stroked="false">
              <v:textbox inset="0,0,0,0">
                <w:txbxContent>
                  <w:p>
                    <w:pPr>
                      <w:spacing w:line="275" w:lineRule="exact" w:before="0"/>
                      <w:ind w:left="381" w:right="0" w:firstLine="0"/>
                      <w:jc w:val="left"/>
                      <w:rPr>
                        <w:i/>
                        <w:sz w:val="24"/>
                      </w:rPr>
                    </w:pPr>
                    <w:r>
                      <w:rPr>
                        <w:i/>
                        <w:color w:val="231F20"/>
                        <w:sz w:val="24"/>
                      </w:rPr>
                      <w:t>Marrickville Council</w:t>
                    </w:r>
                  </w:p>
                  <w:p>
                    <w:pPr>
                      <w:spacing w:before="25"/>
                      <w:ind w:left="0" w:right="0" w:firstLine="0"/>
                      <w:jc w:val="left"/>
                      <w:rPr>
                        <w:b/>
                        <w:i/>
                        <w:sz w:val="24"/>
                      </w:rPr>
                    </w:pPr>
                    <w:r>
                      <w:rPr>
                        <w:b/>
                        <w:i/>
                        <w:color w:val="231F20"/>
                        <w:sz w:val="24"/>
                      </w:rPr>
                      <w:t>Urban  Forest Strategy</w:t>
                    </w:r>
                  </w:p>
                </w:txbxContent>
              </v:textbox>
              <w10:wrap type="none"/>
            </v:shape>
          </v:group>
        </w:pict>
      </w:r>
      <w:r>
        <w:rPr>
          <w:sz w:val="20"/>
        </w:rPr>
      </w:r>
    </w:p>
    <w:p>
      <w:pPr>
        <w:pStyle w:val="BodyText"/>
        <w:rPr>
          <w:sz w:val="20"/>
        </w:rPr>
      </w:pPr>
    </w:p>
    <w:p>
      <w:pPr>
        <w:pStyle w:val="BodyText"/>
        <w:spacing w:before="5"/>
        <w:rPr>
          <w:sz w:val="11"/>
        </w:rPr>
      </w:pPr>
    </w:p>
    <w:tbl>
      <w:tblPr>
        <w:tblW w:w="0" w:type="auto"/>
        <w:jc w:val="left"/>
        <w:tblInd w:w="10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850"/>
        <w:gridCol w:w="3966"/>
        <w:gridCol w:w="4252"/>
        <w:gridCol w:w="850"/>
      </w:tblGrid>
      <w:tr>
        <w:trPr>
          <w:trHeight w:val="448" w:hRule="atLeast"/>
        </w:trPr>
        <w:tc>
          <w:tcPr>
            <w:tcW w:w="567" w:type="dxa"/>
          </w:tcPr>
          <w:p>
            <w:pPr>
              <w:pStyle w:val="TableParagraph"/>
              <w:spacing w:before="140"/>
              <w:ind w:left="98" w:right="93"/>
              <w:jc w:val="center"/>
              <w:rPr>
                <w:b/>
                <w:sz w:val="18"/>
              </w:rPr>
            </w:pPr>
            <w:r>
              <w:rPr>
                <w:b/>
                <w:color w:val="231F20"/>
                <w:sz w:val="18"/>
              </w:rPr>
              <w:t>No.</w:t>
            </w:r>
          </w:p>
        </w:tc>
        <w:tc>
          <w:tcPr>
            <w:tcW w:w="850" w:type="dxa"/>
          </w:tcPr>
          <w:p>
            <w:pPr>
              <w:pStyle w:val="TableParagraph"/>
              <w:spacing w:before="140"/>
              <w:ind w:left="113" w:right="108"/>
              <w:jc w:val="center"/>
              <w:rPr>
                <w:b/>
                <w:sz w:val="18"/>
              </w:rPr>
            </w:pPr>
            <w:r>
              <w:rPr>
                <w:b/>
                <w:color w:val="231F20"/>
                <w:sz w:val="18"/>
              </w:rPr>
              <w:t>Priority</w:t>
            </w:r>
          </w:p>
        </w:tc>
        <w:tc>
          <w:tcPr>
            <w:tcW w:w="3966" w:type="dxa"/>
          </w:tcPr>
          <w:p>
            <w:pPr>
              <w:pStyle w:val="TableParagraph"/>
              <w:spacing w:before="140"/>
              <w:ind w:left="1692" w:right="1687"/>
              <w:jc w:val="center"/>
              <w:rPr>
                <w:b/>
                <w:sz w:val="18"/>
              </w:rPr>
            </w:pPr>
            <w:r>
              <w:rPr>
                <w:b/>
                <w:color w:val="231F20"/>
                <w:sz w:val="18"/>
              </w:rPr>
              <w:t>Actions</w:t>
            </w:r>
          </w:p>
        </w:tc>
        <w:tc>
          <w:tcPr>
            <w:tcW w:w="4252" w:type="dxa"/>
          </w:tcPr>
          <w:p>
            <w:pPr>
              <w:pStyle w:val="TableParagraph"/>
              <w:spacing w:before="140"/>
              <w:ind w:left="1786" w:right="1781"/>
              <w:jc w:val="center"/>
              <w:rPr>
                <w:b/>
                <w:sz w:val="18"/>
              </w:rPr>
            </w:pPr>
            <w:r>
              <w:rPr>
                <w:b/>
                <w:color w:val="231F20"/>
                <w:sz w:val="18"/>
              </w:rPr>
              <w:t>Outcome</w:t>
            </w:r>
          </w:p>
        </w:tc>
        <w:tc>
          <w:tcPr>
            <w:tcW w:w="850" w:type="dxa"/>
          </w:tcPr>
          <w:p>
            <w:pPr>
              <w:pStyle w:val="TableParagraph"/>
              <w:spacing w:before="140"/>
              <w:ind w:left="114" w:right="108"/>
              <w:jc w:val="center"/>
              <w:rPr>
                <w:b/>
                <w:sz w:val="18"/>
              </w:rPr>
            </w:pPr>
            <w:r>
              <w:rPr>
                <w:b/>
                <w:color w:val="231F20"/>
                <w:sz w:val="18"/>
              </w:rPr>
              <w:t>Funding</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HP</w:t>
            </w:r>
          </w:p>
        </w:tc>
        <w:tc>
          <w:tcPr>
            <w:tcW w:w="3966" w:type="dxa"/>
          </w:tcPr>
          <w:p>
            <w:pPr>
              <w:pStyle w:val="TableParagraph"/>
              <w:spacing w:line="183" w:lineRule="exact" w:before="19"/>
              <w:ind w:left="113"/>
              <w:rPr>
                <w:sz w:val="16"/>
              </w:rPr>
            </w:pPr>
            <w:r>
              <w:rPr>
                <w:color w:val="231F20"/>
                <w:sz w:val="16"/>
              </w:rPr>
              <w:t>High Priority</w:t>
            </w:r>
          </w:p>
        </w:tc>
        <w:tc>
          <w:tcPr>
            <w:tcW w:w="4252" w:type="dxa"/>
          </w:tcPr>
          <w:p>
            <w:pPr>
              <w:pStyle w:val="TableParagraph"/>
              <w:spacing w:line="183" w:lineRule="exact" w:before="19"/>
              <w:ind w:left="1032"/>
              <w:rPr>
                <w:sz w:val="16"/>
              </w:rPr>
            </w:pPr>
            <w:r>
              <w:rPr>
                <w:color w:val="231F20"/>
                <w:sz w:val="16"/>
              </w:rPr>
              <w:t>Require substantial additional funding</w:t>
            </w:r>
          </w:p>
        </w:tc>
        <w:tc>
          <w:tcPr>
            <w:tcW w:w="850" w:type="dxa"/>
          </w:tcPr>
          <w:p>
            <w:pPr>
              <w:pStyle w:val="TableParagraph"/>
              <w:spacing w:line="202" w:lineRule="exact"/>
              <w:ind w:left="5"/>
              <w:jc w:val="center"/>
              <w:rPr>
                <w:rFonts w:ascii="Arial" w:hAnsi="Arial"/>
                <w:b/>
                <w:sz w:val="24"/>
              </w:rPr>
            </w:pPr>
            <w:r>
              <w:rPr>
                <w:rFonts w:ascii="Arial" w:hAnsi="Arial"/>
                <w:b/>
                <w:color w:val="D34D49"/>
                <w:sz w:val="24"/>
              </w:rPr>
              <w:t>■</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MP</w:t>
            </w:r>
          </w:p>
        </w:tc>
        <w:tc>
          <w:tcPr>
            <w:tcW w:w="3966" w:type="dxa"/>
          </w:tcPr>
          <w:p>
            <w:pPr>
              <w:pStyle w:val="TableParagraph"/>
              <w:spacing w:line="183" w:lineRule="exact" w:before="19"/>
              <w:ind w:left="113"/>
              <w:rPr>
                <w:sz w:val="16"/>
              </w:rPr>
            </w:pPr>
            <w:r>
              <w:rPr>
                <w:color w:val="231F20"/>
                <w:sz w:val="16"/>
              </w:rPr>
              <w:t>Medium Priority</w:t>
            </w:r>
          </w:p>
        </w:tc>
        <w:tc>
          <w:tcPr>
            <w:tcW w:w="4252" w:type="dxa"/>
          </w:tcPr>
          <w:p>
            <w:pPr>
              <w:pStyle w:val="TableParagraph"/>
              <w:spacing w:line="183" w:lineRule="exact" w:before="19"/>
              <w:ind w:left="1163"/>
              <w:rPr>
                <w:sz w:val="16"/>
              </w:rPr>
            </w:pPr>
            <w:r>
              <w:rPr>
                <w:color w:val="231F20"/>
                <w:sz w:val="16"/>
              </w:rPr>
              <w:t>Some additional funding required</w:t>
            </w:r>
          </w:p>
        </w:tc>
        <w:tc>
          <w:tcPr>
            <w:tcW w:w="850" w:type="dxa"/>
          </w:tcPr>
          <w:p>
            <w:pPr>
              <w:pStyle w:val="TableParagraph"/>
              <w:spacing w:line="202" w:lineRule="exact"/>
              <w:ind w:left="5"/>
              <w:jc w:val="center"/>
              <w:rPr>
                <w:rFonts w:ascii="Arial"/>
                <w:sz w:val="24"/>
              </w:rPr>
            </w:pPr>
            <w:r>
              <w:rPr>
                <w:rFonts w:ascii="Arial"/>
                <w:color w:val="FDB933"/>
                <w:w w:val="268"/>
                <w:sz w:val="24"/>
              </w:rPr>
              <w:t>t</w:t>
            </w:r>
          </w:p>
        </w:tc>
      </w:tr>
      <w:tr>
        <w:trPr>
          <w:trHeight w:val="214" w:hRule="atLeast"/>
        </w:trPr>
        <w:tc>
          <w:tcPr>
            <w:tcW w:w="567" w:type="dxa"/>
            <w:tcBorders>
              <w:bottom w:val="single" w:sz="8" w:space="0" w:color="231F20"/>
            </w:tcBorders>
          </w:tcPr>
          <w:p>
            <w:pPr>
              <w:pStyle w:val="TableParagraph"/>
              <w:rPr>
                <w:rFonts w:ascii="Times New Roman"/>
                <w:sz w:val="14"/>
              </w:rPr>
            </w:pPr>
          </w:p>
        </w:tc>
        <w:tc>
          <w:tcPr>
            <w:tcW w:w="850" w:type="dxa"/>
            <w:tcBorders>
              <w:bottom w:val="single" w:sz="8" w:space="0" w:color="231F20"/>
            </w:tcBorders>
          </w:tcPr>
          <w:p>
            <w:pPr>
              <w:pStyle w:val="TableParagraph"/>
              <w:spacing w:line="172" w:lineRule="exact" w:before="22"/>
              <w:ind w:left="114" w:right="107"/>
              <w:jc w:val="center"/>
              <w:rPr>
                <w:b/>
                <w:sz w:val="18"/>
              </w:rPr>
            </w:pPr>
            <w:r>
              <w:rPr>
                <w:b/>
                <w:color w:val="231F20"/>
                <w:sz w:val="18"/>
              </w:rPr>
              <w:t>LP</w:t>
            </w:r>
          </w:p>
        </w:tc>
        <w:tc>
          <w:tcPr>
            <w:tcW w:w="3966" w:type="dxa"/>
            <w:tcBorders>
              <w:bottom w:val="single" w:sz="8" w:space="0" w:color="231F20"/>
            </w:tcBorders>
          </w:tcPr>
          <w:p>
            <w:pPr>
              <w:pStyle w:val="TableParagraph"/>
              <w:spacing w:line="179" w:lineRule="exact" w:before="15"/>
              <w:ind w:left="113"/>
              <w:rPr>
                <w:sz w:val="16"/>
              </w:rPr>
            </w:pPr>
            <w:r>
              <w:rPr>
                <w:color w:val="231F20"/>
                <w:sz w:val="16"/>
              </w:rPr>
              <w:t>Low Priority</w:t>
            </w:r>
          </w:p>
        </w:tc>
        <w:tc>
          <w:tcPr>
            <w:tcW w:w="4252" w:type="dxa"/>
            <w:tcBorders>
              <w:bottom w:val="single" w:sz="8" w:space="0" w:color="231F20"/>
            </w:tcBorders>
          </w:tcPr>
          <w:p>
            <w:pPr>
              <w:pStyle w:val="TableParagraph"/>
              <w:spacing w:line="179" w:lineRule="exact" w:before="15"/>
              <w:ind w:left="313"/>
              <w:rPr>
                <w:sz w:val="16"/>
              </w:rPr>
            </w:pPr>
            <w:r>
              <w:rPr>
                <w:color w:val="231F20"/>
                <w:sz w:val="16"/>
              </w:rPr>
              <w:t>Little / no additional funding required — use existing resources</w:t>
            </w:r>
          </w:p>
        </w:tc>
        <w:tc>
          <w:tcPr>
            <w:tcW w:w="850" w:type="dxa"/>
            <w:tcBorders>
              <w:bottom w:val="single" w:sz="8" w:space="0" w:color="231F20"/>
            </w:tcBorders>
          </w:tcPr>
          <w:p>
            <w:pPr>
              <w:pStyle w:val="TableParagraph"/>
              <w:spacing w:line="194" w:lineRule="exact"/>
              <w:ind w:left="5"/>
              <w:jc w:val="center"/>
              <w:rPr>
                <w:rFonts w:ascii="Arial"/>
                <w:sz w:val="24"/>
              </w:rPr>
            </w:pPr>
            <w:r>
              <w:rPr>
                <w:rFonts w:ascii="Arial"/>
                <w:color w:val="1BB78D"/>
                <w:w w:val="336"/>
                <w:sz w:val="24"/>
              </w:rPr>
              <w:t>l</w:t>
            </w:r>
          </w:p>
        </w:tc>
      </w:tr>
      <w:tr>
        <w:trPr>
          <w:trHeight w:val="675" w:hRule="atLeast"/>
        </w:trPr>
        <w:tc>
          <w:tcPr>
            <w:tcW w:w="567" w:type="dxa"/>
            <w:tcBorders>
              <w:top w:val="single" w:sz="8" w:space="0" w:color="231F20"/>
            </w:tcBorders>
          </w:tcPr>
          <w:p>
            <w:pPr>
              <w:pStyle w:val="TableParagraph"/>
              <w:spacing w:before="4"/>
              <w:rPr>
                <w:sz w:val="24"/>
              </w:rPr>
            </w:pPr>
          </w:p>
          <w:p>
            <w:pPr>
              <w:pStyle w:val="TableParagraph"/>
              <w:spacing w:before="1"/>
              <w:ind w:left="98" w:right="94"/>
              <w:jc w:val="center"/>
              <w:rPr>
                <w:b/>
                <w:sz w:val="18"/>
              </w:rPr>
            </w:pPr>
            <w:r>
              <w:rPr>
                <w:b/>
                <w:color w:val="231F20"/>
                <w:sz w:val="18"/>
              </w:rPr>
              <w:t>4.3</w:t>
            </w:r>
          </w:p>
        </w:tc>
        <w:tc>
          <w:tcPr>
            <w:tcW w:w="850" w:type="dxa"/>
            <w:tcBorders>
              <w:top w:val="single" w:sz="8" w:space="0" w:color="231F20"/>
            </w:tcBorders>
          </w:tcPr>
          <w:p>
            <w:pPr>
              <w:pStyle w:val="TableParagraph"/>
              <w:spacing w:before="4"/>
              <w:rPr>
                <w:sz w:val="24"/>
              </w:rPr>
            </w:pPr>
          </w:p>
          <w:p>
            <w:pPr>
              <w:pStyle w:val="TableParagraph"/>
              <w:spacing w:before="1"/>
              <w:ind w:left="114" w:right="107"/>
              <w:jc w:val="center"/>
              <w:rPr>
                <w:b/>
                <w:sz w:val="18"/>
              </w:rPr>
            </w:pPr>
            <w:r>
              <w:rPr>
                <w:b/>
                <w:color w:val="231F20"/>
                <w:sz w:val="18"/>
              </w:rPr>
              <w:t>MP</w:t>
            </w:r>
          </w:p>
        </w:tc>
        <w:tc>
          <w:tcPr>
            <w:tcW w:w="3966" w:type="dxa"/>
            <w:tcBorders>
              <w:top w:val="single" w:sz="8" w:space="0" w:color="231F20"/>
            </w:tcBorders>
          </w:tcPr>
          <w:p>
            <w:pPr>
              <w:pStyle w:val="TableParagraph"/>
              <w:spacing w:before="1"/>
              <w:rPr>
                <w:sz w:val="16"/>
              </w:rPr>
            </w:pPr>
          </w:p>
          <w:p>
            <w:pPr>
              <w:pStyle w:val="TableParagraph"/>
              <w:spacing w:line="232" w:lineRule="auto"/>
              <w:ind w:left="113" w:right="686"/>
              <w:rPr>
                <w:b/>
                <w:sz w:val="18"/>
              </w:rPr>
            </w:pPr>
            <w:r>
              <w:rPr>
                <w:b/>
                <w:color w:val="231F20"/>
                <w:sz w:val="18"/>
              </w:rPr>
              <w:t>Community participation in tree planting and maintenance programs</w:t>
            </w:r>
          </w:p>
        </w:tc>
        <w:tc>
          <w:tcPr>
            <w:tcW w:w="4252" w:type="dxa"/>
            <w:tcBorders>
              <w:top w:val="single" w:sz="8" w:space="0" w:color="231F20"/>
            </w:tcBorders>
          </w:tcPr>
          <w:p>
            <w:pPr>
              <w:pStyle w:val="TableParagraph"/>
              <w:rPr>
                <w:rFonts w:ascii="Times New Roman"/>
                <w:sz w:val="18"/>
              </w:rPr>
            </w:pPr>
          </w:p>
        </w:tc>
        <w:tc>
          <w:tcPr>
            <w:tcW w:w="850" w:type="dxa"/>
            <w:tcBorders>
              <w:top w:val="single" w:sz="8" w:space="0" w:color="231F20"/>
            </w:tcBorders>
          </w:tcPr>
          <w:p>
            <w:pPr>
              <w:pStyle w:val="TableParagraph"/>
              <w:rPr>
                <w:rFonts w:ascii="Times New Roman"/>
                <w:sz w:val="18"/>
              </w:rPr>
            </w:pPr>
          </w:p>
        </w:tc>
      </w:tr>
      <w:tr>
        <w:trPr>
          <w:trHeight w:val="135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116"/>
              <w:ind w:left="113"/>
              <w:rPr>
                <w:sz w:val="18"/>
              </w:rPr>
            </w:pPr>
            <w:r>
              <w:rPr>
                <w:color w:val="231F20"/>
                <w:sz w:val="18"/>
              </w:rPr>
              <w:t>Identify existing Council programs:</w:t>
            </w:r>
          </w:p>
          <w:p>
            <w:pPr>
              <w:pStyle w:val="TableParagraph"/>
              <w:numPr>
                <w:ilvl w:val="0"/>
                <w:numId w:val="22"/>
              </w:numPr>
              <w:tabs>
                <w:tab w:pos="278" w:val="left" w:leader="none"/>
              </w:tabs>
              <w:spacing w:line="240" w:lineRule="auto" w:before="51" w:after="0"/>
              <w:ind w:left="277" w:right="0" w:hanging="164"/>
              <w:jc w:val="left"/>
              <w:rPr>
                <w:sz w:val="18"/>
              </w:rPr>
            </w:pPr>
            <w:r>
              <w:rPr>
                <w:color w:val="231F20"/>
                <w:sz w:val="18"/>
              </w:rPr>
              <w:t>Council funded</w:t>
            </w:r>
            <w:r>
              <w:rPr>
                <w:color w:val="231F20"/>
                <w:spacing w:val="-2"/>
                <w:sz w:val="18"/>
              </w:rPr>
              <w:t> </w:t>
            </w:r>
            <w:r>
              <w:rPr>
                <w:color w:val="231F20"/>
                <w:sz w:val="18"/>
              </w:rPr>
              <w:t>programs</w:t>
            </w:r>
          </w:p>
          <w:p>
            <w:pPr>
              <w:pStyle w:val="TableParagraph"/>
              <w:numPr>
                <w:ilvl w:val="0"/>
                <w:numId w:val="22"/>
              </w:numPr>
              <w:tabs>
                <w:tab w:pos="278" w:val="left" w:leader="none"/>
              </w:tabs>
              <w:spacing w:line="232" w:lineRule="auto" w:before="55" w:after="0"/>
              <w:ind w:left="277" w:right="523" w:hanging="164"/>
              <w:jc w:val="left"/>
              <w:rPr>
                <w:sz w:val="18"/>
              </w:rPr>
            </w:pPr>
            <w:r>
              <w:rPr>
                <w:color w:val="231F20"/>
                <w:sz w:val="18"/>
              </w:rPr>
              <w:t>Opportunities for community based programs on public</w:t>
            </w:r>
            <w:r>
              <w:rPr>
                <w:color w:val="231F20"/>
                <w:spacing w:val="-2"/>
                <w:sz w:val="18"/>
              </w:rPr>
              <w:t> </w:t>
            </w:r>
            <w:r>
              <w:rPr>
                <w:color w:val="231F20"/>
                <w:sz w:val="18"/>
              </w:rPr>
              <w:t>land</w:t>
            </w:r>
          </w:p>
          <w:p>
            <w:pPr>
              <w:pStyle w:val="TableParagraph"/>
              <w:numPr>
                <w:ilvl w:val="0"/>
                <w:numId w:val="22"/>
              </w:numPr>
              <w:tabs>
                <w:tab w:pos="278" w:val="left" w:leader="none"/>
              </w:tabs>
              <w:spacing w:line="240" w:lineRule="auto" w:before="51" w:after="0"/>
              <w:ind w:left="277" w:right="0" w:hanging="164"/>
              <w:jc w:val="left"/>
              <w:rPr>
                <w:sz w:val="18"/>
              </w:rPr>
            </w:pPr>
            <w:r>
              <w:rPr>
                <w:color w:val="231F20"/>
                <w:sz w:val="18"/>
              </w:rPr>
              <w:t>Community based programs on non-public</w:t>
            </w:r>
            <w:r>
              <w:rPr>
                <w:color w:val="231F20"/>
                <w:spacing w:val="-11"/>
                <w:sz w:val="18"/>
              </w:rPr>
              <w:t> </w:t>
            </w:r>
            <w:r>
              <w:rPr>
                <w:color w:val="231F20"/>
                <w:sz w:val="18"/>
              </w:rPr>
              <w:t>land</w:t>
            </w:r>
          </w:p>
        </w:tc>
        <w:tc>
          <w:tcPr>
            <w:tcW w:w="4252" w:type="dxa"/>
          </w:tcPr>
          <w:p>
            <w:pPr>
              <w:pStyle w:val="TableParagraph"/>
              <w:rPr>
                <w:sz w:val="20"/>
              </w:rPr>
            </w:pPr>
          </w:p>
          <w:p>
            <w:pPr>
              <w:pStyle w:val="TableParagraph"/>
              <w:rPr>
                <w:sz w:val="20"/>
              </w:rPr>
            </w:pPr>
          </w:p>
          <w:p>
            <w:pPr>
              <w:pStyle w:val="TableParagraph"/>
              <w:spacing w:before="161"/>
              <w:ind w:left="113"/>
              <w:rPr>
                <w:b/>
                <w:sz w:val="18"/>
              </w:rPr>
            </w:pPr>
            <w:r>
              <w:rPr>
                <w:b/>
                <w:color w:val="231F20"/>
                <w:sz w:val="18"/>
              </w:rPr>
              <w:t>Programs Identified</w:t>
            </w:r>
          </w:p>
        </w:tc>
        <w:tc>
          <w:tcPr>
            <w:tcW w:w="850" w:type="dxa"/>
          </w:tcPr>
          <w:p>
            <w:pPr>
              <w:pStyle w:val="TableParagraph"/>
              <w:rPr>
                <w:sz w:val="26"/>
              </w:rPr>
            </w:pPr>
          </w:p>
          <w:p>
            <w:pPr>
              <w:pStyle w:val="TableParagraph"/>
              <w:spacing w:before="10"/>
              <w:rPr>
                <w:sz w:val="23"/>
              </w:rPr>
            </w:pPr>
          </w:p>
          <w:p>
            <w:pPr>
              <w:pStyle w:val="TableParagraph"/>
              <w:ind w:left="47"/>
              <w:jc w:val="center"/>
              <w:rPr>
                <w:rFonts w:ascii="Arial"/>
                <w:sz w:val="24"/>
              </w:rPr>
            </w:pPr>
            <w:r>
              <w:rPr>
                <w:rFonts w:ascii="Arial"/>
                <w:color w:val="1BB78D"/>
                <w:w w:val="336"/>
                <w:sz w:val="24"/>
              </w:rPr>
              <w:t>l</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36"/>
              <w:ind w:left="113" w:right="374"/>
              <w:rPr>
                <w:sz w:val="18"/>
              </w:rPr>
            </w:pPr>
            <w:r>
              <w:rPr>
                <w:color w:val="231F20"/>
                <w:sz w:val="18"/>
              </w:rPr>
              <w:t>Preliminary community consultation methodology developed in liaison with Community Development and Environmental Services. To determine baseline community expectations and outcomes</w:t>
            </w:r>
          </w:p>
        </w:tc>
        <w:tc>
          <w:tcPr>
            <w:tcW w:w="4252" w:type="dxa"/>
          </w:tcPr>
          <w:p>
            <w:pPr>
              <w:pStyle w:val="TableParagraph"/>
              <w:rPr>
                <w:sz w:val="20"/>
              </w:rPr>
            </w:pPr>
          </w:p>
          <w:p>
            <w:pPr>
              <w:pStyle w:val="TableParagraph"/>
              <w:spacing w:before="2"/>
              <w:rPr>
                <w:sz w:val="19"/>
              </w:rPr>
            </w:pPr>
          </w:p>
          <w:p>
            <w:pPr>
              <w:pStyle w:val="TableParagraph"/>
              <w:spacing w:before="1"/>
              <w:ind w:left="113"/>
              <w:rPr>
                <w:b/>
                <w:sz w:val="18"/>
              </w:rPr>
            </w:pPr>
            <w:r>
              <w:rPr>
                <w:b/>
                <w:color w:val="231F20"/>
                <w:sz w:val="18"/>
              </w:rPr>
              <w:t>Methodology developed</w:t>
            </w:r>
          </w:p>
        </w:tc>
        <w:tc>
          <w:tcPr>
            <w:tcW w:w="850" w:type="dxa"/>
          </w:tcPr>
          <w:p>
            <w:pPr>
              <w:pStyle w:val="TableParagraph"/>
              <w:rPr>
                <w:sz w:val="35"/>
              </w:rPr>
            </w:pPr>
          </w:p>
          <w:p>
            <w:pPr>
              <w:pStyle w:val="TableParagraph"/>
              <w:ind w:left="5"/>
              <w:jc w:val="center"/>
              <w:rPr>
                <w:rFonts w:ascii="Arial"/>
                <w:sz w:val="24"/>
              </w:rPr>
            </w:pPr>
            <w:r>
              <w:rPr>
                <w:rFonts w:ascii="Arial"/>
                <w:color w:val="FDB933"/>
                <w:w w:val="268"/>
                <w:sz w:val="24"/>
              </w:rPr>
              <w:t>t</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03" w:lineRule="exact" w:before="131"/>
              <w:ind w:left="113"/>
              <w:rPr>
                <w:sz w:val="18"/>
              </w:rPr>
            </w:pPr>
            <w:r>
              <w:rPr>
                <w:color w:val="231F20"/>
                <w:sz w:val="18"/>
              </w:rPr>
              <w:t>Prepare draft guidelines / agreements for community</w:t>
            </w:r>
          </w:p>
          <w:p>
            <w:pPr>
              <w:pStyle w:val="TableParagraph"/>
              <w:spacing w:line="232" w:lineRule="auto" w:before="2"/>
              <w:ind w:left="113" w:right="242"/>
              <w:rPr>
                <w:sz w:val="18"/>
              </w:rPr>
            </w:pPr>
            <w:r>
              <w:rPr>
                <w:color w:val="231F20"/>
                <w:sz w:val="18"/>
              </w:rPr>
              <w:t>/ private  planting &amp; maintenance of trees on public land (street nature strips, Bush Pockets etc). Councillor endorsement of vision and</w:t>
            </w:r>
            <w:r>
              <w:rPr>
                <w:color w:val="231F20"/>
                <w:spacing w:val="-7"/>
                <w:sz w:val="18"/>
              </w:rPr>
              <w:t> </w:t>
            </w:r>
            <w:r>
              <w:rPr>
                <w:color w:val="231F20"/>
                <w:sz w:val="18"/>
              </w:rPr>
              <w:t>scope</w:t>
            </w:r>
          </w:p>
        </w:tc>
        <w:tc>
          <w:tcPr>
            <w:tcW w:w="4252" w:type="dxa"/>
          </w:tcPr>
          <w:p>
            <w:pPr>
              <w:pStyle w:val="TableParagraph"/>
              <w:rPr>
                <w:sz w:val="20"/>
              </w:rPr>
            </w:pPr>
          </w:p>
          <w:p>
            <w:pPr>
              <w:pStyle w:val="TableParagraph"/>
              <w:spacing w:before="2"/>
              <w:rPr>
                <w:sz w:val="19"/>
              </w:rPr>
            </w:pPr>
          </w:p>
          <w:p>
            <w:pPr>
              <w:pStyle w:val="TableParagraph"/>
              <w:spacing w:before="1"/>
              <w:ind w:left="113"/>
              <w:rPr>
                <w:b/>
                <w:sz w:val="18"/>
              </w:rPr>
            </w:pPr>
            <w:r>
              <w:rPr>
                <w:b/>
                <w:color w:val="231F20"/>
                <w:sz w:val="18"/>
              </w:rPr>
              <w:t>Draft Guidelines / Agreements prepared</w:t>
            </w:r>
          </w:p>
        </w:tc>
        <w:tc>
          <w:tcPr>
            <w:tcW w:w="850" w:type="dxa"/>
          </w:tcPr>
          <w:p>
            <w:pPr>
              <w:pStyle w:val="TableParagraph"/>
              <w:rPr>
                <w:sz w:val="35"/>
              </w:rPr>
            </w:pPr>
          </w:p>
          <w:p>
            <w:pPr>
              <w:pStyle w:val="TableParagraph"/>
              <w:ind w:left="5"/>
              <w:jc w:val="center"/>
              <w:rPr>
                <w:rFonts w:ascii="Arial"/>
                <w:sz w:val="24"/>
              </w:rPr>
            </w:pPr>
            <w:r>
              <w:rPr>
                <w:rFonts w:ascii="Arial"/>
                <w:color w:val="FDB933"/>
                <w:w w:val="268"/>
                <w:sz w:val="24"/>
              </w:rPr>
              <w:t>t</w:t>
            </w:r>
          </w:p>
        </w:tc>
      </w:tr>
      <w:tr>
        <w:trPr>
          <w:trHeight w:val="902"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7"/>
              <w:rPr>
                <w:sz w:val="15"/>
              </w:rPr>
            </w:pPr>
          </w:p>
          <w:p>
            <w:pPr>
              <w:pStyle w:val="TableParagraph"/>
              <w:spacing w:line="232" w:lineRule="auto" w:before="1"/>
              <w:ind w:left="113" w:right="356"/>
              <w:rPr>
                <w:sz w:val="18"/>
              </w:rPr>
            </w:pPr>
            <w:r>
              <w:rPr>
                <w:color w:val="231F20"/>
                <w:sz w:val="18"/>
              </w:rPr>
              <w:t>Community consultation methodology developed and coordinated across Council. Undertake consultation process and report results to Council</w:t>
            </w:r>
          </w:p>
        </w:tc>
        <w:tc>
          <w:tcPr>
            <w:tcW w:w="4252" w:type="dxa"/>
          </w:tcPr>
          <w:p>
            <w:pPr>
              <w:pStyle w:val="TableParagraph"/>
              <w:spacing w:before="11"/>
              <w:rPr>
                <w:sz w:val="23"/>
              </w:rPr>
            </w:pPr>
          </w:p>
          <w:p>
            <w:pPr>
              <w:pStyle w:val="TableParagraph"/>
              <w:spacing w:line="203" w:lineRule="exact"/>
              <w:ind w:left="113"/>
              <w:rPr>
                <w:sz w:val="18"/>
              </w:rPr>
            </w:pPr>
            <w:r>
              <w:rPr>
                <w:color w:val="231F20"/>
                <w:sz w:val="18"/>
              </w:rPr>
              <w:t>Consultation carried out, all outcomes recorded and agreed</w:t>
            </w:r>
          </w:p>
          <w:p>
            <w:pPr>
              <w:pStyle w:val="TableParagraph"/>
              <w:spacing w:line="203" w:lineRule="exact"/>
              <w:ind w:left="113"/>
              <w:rPr>
                <w:b/>
                <w:sz w:val="18"/>
              </w:rPr>
            </w:pPr>
            <w:r>
              <w:rPr>
                <w:b/>
                <w:color w:val="231F20"/>
                <w:sz w:val="18"/>
              </w:rPr>
              <w:t>outcomes incorporated into policy</w:t>
            </w:r>
          </w:p>
        </w:tc>
        <w:tc>
          <w:tcPr>
            <w:tcW w:w="850" w:type="dxa"/>
          </w:tcPr>
          <w:p>
            <w:pPr>
              <w:pStyle w:val="TableParagraph"/>
              <w:spacing w:before="1"/>
              <w:rPr>
                <w:sz w:val="30"/>
              </w:rPr>
            </w:pPr>
          </w:p>
          <w:p>
            <w:pPr>
              <w:pStyle w:val="TableParagraph"/>
              <w:ind w:left="5"/>
              <w:jc w:val="center"/>
              <w:rPr>
                <w:rFonts w:ascii="Arial"/>
                <w:sz w:val="24"/>
              </w:rPr>
            </w:pPr>
            <w:r>
              <w:rPr>
                <w:rFonts w:ascii="Arial"/>
                <w:color w:val="FDB933"/>
                <w:w w:val="268"/>
                <w:sz w:val="24"/>
              </w:rPr>
              <w:t>t</w:t>
            </w:r>
          </w:p>
        </w:tc>
      </w:tr>
      <w:tr>
        <w:trPr>
          <w:trHeight w:val="101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103"/>
              <w:ind w:left="113"/>
              <w:rPr>
                <w:sz w:val="18"/>
              </w:rPr>
            </w:pPr>
            <w:r>
              <w:rPr>
                <w:color w:val="231F20"/>
                <w:sz w:val="18"/>
              </w:rPr>
              <w:t>Adopt guidelines/agreements</w:t>
            </w:r>
          </w:p>
          <w:p>
            <w:pPr>
              <w:pStyle w:val="TableParagraph"/>
              <w:spacing w:line="232" w:lineRule="auto" w:before="55"/>
              <w:ind w:left="275" w:right="276" w:hanging="162"/>
              <w:rPr>
                <w:sz w:val="18"/>
              </w:rPr>
            </w:pPr>
            <w:r>
              <w:rPr>
                <w:color w:val="231F20"/>
                <w:sz w:val="18"/>
              </w:rPr>
              <w:t>1. To inform community of the opportunities and obligations related to tree planting and maintenance on public land</w:t>
            </w:r>
          </w:p>
        </w:tc>
        <w:tc>
          <w:tcPr>
            <w:tcW w:w="4252" w:type="dxa"/>
          </w:tcPr>
          <w:p>
            <w:pPr>
              <w:pStyle w:val="TableParagraph"/>
              <w:rPr>
                <w:sz w:val="20"/>
              </w:rPr>
            </w:pPr>
          </w:p>
          <w:p>
            <w:pPr>
              <w:pStyle w:val="TableParagraph"/>
              <w:spacing w:before="2"/>
              <w:rPr>
                <w:sz w:val="19"/>
              </w:rPr>
            </w:pPr>
          </w:p>
          <w:p>
            <w:pPr>
              <w:pStyle w:val="TableParagraph"/>
              <w:spacing w:before="1"/>
              <w:ind w:left="113"/>
              <w:rPr>
                <w:sz w:val="18"/>
              </w:rPr>
            </w:pPr>
            <w:r>
              <w:rPr>
                <w:b/>
                <w:color w:val="231F20"/>
                <w:sz w:val="18"/>
              </w:rPr>
              <w:t>Adopt </w:t>
            </w:r>
            <w:r>
              <w:rPr>
                <w:color w:val="231F20"/>
                <w:sz w:val="18"/>
              </w:rPr>
              <w:t>Agreements</w:t>
            </w:r>
          </w:p>
        </w:tc>
        <w:tc>
          <w:tcPr>
            <w:tcW w:w="850" w:type="dxa"/>
          </w:tcPr>
          <w:p>
            <w:pPr>
              <w:pStyle w:val="TableParagraph"/>
              <w:rPr>
                <w:sz w:val="35"/>
              </w:rPr>
            </w:pPr>
          </w:p>
          <w:p>
            <w:pPr>
              <w:pStyle w:val="TableParagraph"/>
              <w:ind w:left="5"/>
              <w:jc w:val="center"/>
              <w:rPr>
                <w:rFonts w:ascii="Arial"/>
                <w:sz w:val="24"/>
              </w:rPr>
            </w:pPr>
            <w:r>
              <w:rPr>
                <w:rFonts w:ascii="Arial"/>
                <w:color w:val="1BB78D"/>
                <w:w w:val="336"/>
                <w:sz w:val="24"/>
              </w:rPr>
              <w:t>l</w:t>
            </w:r>
          </w:p>
        </w:tc>
      </w:tr>
      <w:tr>
        <w:trPr>
          <w:trHeight w:val="561"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10"/>
              <w:ind w:left="113" w:right="947"/>
              <w:rPr>
                <w:sz w:val="18"/>
              </w:rPr>
            </w:pPr>
            <w:r>
              <w:rPr>
                <w:color w:val="231F20"/>
                <w:sz w:val="18"/>
              </w:rPr>
              <w:t>Community participation in tree planting and maintenance programs</w:t>
            </w:r>
          </w:p>
        </w:tc>
        <w:tc>
          <w:tcPr>
            <w:tcW w:w="4252" w:type="dxa"/>
          </w:tcPr>
          <w:p>
            <w:pPr>
              <w:pStyle w:val="TableParagraph"/>
              <w:spacing w:before="5"/>
              <w:rPr>
                <w:sz w:val="19"/>
              </w:rPr>
            </w:pPr>
          </w:p>
          <w:p>
            <w:pPr>
              <w:pStyle w:val="TableParagraph"/>
              <w:ind w:left="113"/>
              <w:rPr>
                <w:b/>
                <w:sz w:val="18"/>
              </w:rPr>
            </w:pPr>
            <w:r>
              <w:rPr>
                <w:b/>
                <w:color w:val="231F20"/>
                <w:sz w:val="18"/>
              </w:rPr>
              <w:t>Implement programs</w:t>
            </w:r>
          </w:p>
        </w:tc>
        <w:tc>
          <w:tcPr>
            <w:tcW w:w="850" w:type="dxa"/>
          </w:tcPr>
          <w:p>
            <w:pPr>
              <w:pStyle w:val="TableParagraph"/>
              <w:spacing w:before="175"/>
              <w:ind w:left="47"/>
              <w:jc w:val="center"/>
              <w:rPr>
                <w:rFonts w:ascii="Arial"/>
                <w:sz w:val="24"/>
              </w:rPr>
            </w:pPr>
            <w:r>
              <w:rPr>
                <w:rFonts w:ascii="Arial"/>
                <w:color w:val="FDB933"/>
                <w:w w:val="268"/>
                <w:sz w:val="24"/>
              </w:rPr>
              <w:t>t</w:t>
            </w:r>
          </w:p>
        </w:tc>
      </w:tr>
    </w:tbl>
    <w:p>
      <w:pPr>
        <w:spacing w:after="0"/>
        <w:jc w:val="center"/>
        <w:rPr>
          <w:rFonts w:ascii="Arial"/>
          <w:sz w:val="24"/>
        </w:rPr>
        <w:sectPr>
          <w:pgSz w:w="11910" w:h="16840"/>
          <w:pgMar w:header="0" w:footer="779" w:top="540" w:bottom="960" w:left="460" w:right="440"/>
        </w:sectPr>
      </w:pPr>
    </w:p>
    <w:p>
      <w:pPr>
        <w:pStyle w:val="BodyText"/>
        <w:ind w:left="387"/>
        <w:rPr>
          <w:sz w:val="20"/>
        </w:rPr>
      </w:pPr>
      <w:r>
        <w:rPr>
          <w:sz w:val="20"/>
        </w:rPr>
        <w:pict>
          <v:group style="width:524.450pt;height:77.25pt;mso-position-horizontal-relative:char;mso-position-vertical-relative:line" coordorigin="0,0" coordsize="10489,1545">
            <v:line style="position:absolute" from="10488,1491" to="0,1491" stroked="true" strokeweight=".25pt" strokecolor="#808285">
              <v:stroke dashstyle="solid"/>
            </v:line>
            <v:line style="position:absolute" from="7092,0" to="7092,1501" stroked="true" strokeweight=".25pt" strokecolor="#808285">
              <v:stroke dashstyle="solid"/>
            </v:line>
            <v:shape style="position:absolute;left:7379;top:442;width:3016;height:1102" type="#_x0000_t202" filled="false" stroked="false">
              <v:textbox inset="0,0,0,0">
                <w:txbxContent>
                  <w:p>
                    <w:pPr>
                      <w:spacing w:line="1100" w:lineRule="exact" w:before="0"/>
                      <w:ind w:left="0" w:right="0" w:firstLine="0"/>
                      <w:jc w:val="left"/>
                      <w:rPr>
                        <w:b/>
                        <w:sz w:val="96"/>
                      </w:rPr>
                    </w:pPr>
                    <w:r>
                      <w:rPr>
                        <w:b/>
                        <w:i/>
                        <w:color w:val="231F20"/>
                        <w:sz w:val="24"/>
                      </w:rPr>
                      <w:t>Urban Forest Strategy </w:t>
                    </w:r>
                    <w:r>
                      <w:rPr>
                        <w:b/>
                        <w:color w:val="808285"/>
                        <w:sz w:val="96"/>
                      </w:rPr>
                      <w:t>4</w:t>
                    </w:r>
                  </w:p>
                </w:txbxContent>
              </v:textbox>
              <w10:wrap type="none"/>
            </v:shape>
            <v:shape style="position:absolute;left:7760;top:816;width:1907;height:276" type="#_x0000_t202" filled="false" stroked="false">
              <v:textbox inset="0,0,0,0">
                <w:txbxContent>
                  <w:p>
                    <w:pPr>
                      <w:spacing w:line="275" w:lineRule="exact" w:before="0"/>
                      <w:ind w:left="0" w:right="0" w:firstLine="0"/>
                      <w:jc w:val="left"/>
                      <w:rPr>
                        <w:i/>
                        <w:sz w:val="24"/>
                      </w:rPr>
                    </w:pPr>
                    <w:r>
                      <w:rPr>
                        <w:i/>
                        <w:color w:val="231F20"/>
                        <w:sz w:val="24"/>
                      </w:rPr>
                      <w:t>Marrickville Council</w:t>
                    </w:r>
                  </w:p>
                </w:txbxContent>
              </v:textbox>
              <w10:wrap type="none"/>
            </v:shape>
          </v:group>
        </w:pict>
      </w:r>
      <w:r>
        <w:rPr>
          <w:sz w:val="20"/>
        </w:rPr>
      </w:r>
    </w:p>
    <w:p>
      <w:pPr>
        <w:pStyle w:val="BodyText"/>
        <w:spacing w:before="8"/>
        <w:rPr>
          <w:sz w:val="29"/>
        </w:rPr>
      </w:pPr>
    </w:p>
    <w:tbl>
      <w:tblPr>
        <w:tblW w:w="0" w:type="auto"/>
        <w:jc w:val="left"/>
        <w:tblInd w:w="40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850"/>
        <w:gridCol w:w="3966"/>
        <w:gridCol w:w="4252"/>
        <w:gridCol w:w="850"/>
      </w:tblGrid>
      <w:tr>
        <w:trPr>
          <w:trHeight w:val="448" w:hRule="atLeast"/>
        </w:trPr>
        <w:tc>
          <w:tcPr>
            <w:tcW w:w="567" w:type="dxa"/>
          </w:tcPr>
          <w:p>
            <w:pPr>
              <w:pStyle w:val="TableParagraph"/>
              <w:spacing w:before="140"/>
              <w:ind w:left="98" w:right="93"/>
              <w:jc w:val="center"/>
              <w:rPr>
                <w:b/>
                <w:sz w:val="18"/>
              </w:rPr>
            </w:pPr>
            <w:r>
              <w:rPr>
                <w:b/>
                <w:color w:val="231F20"/>
                <w:sz w:val="18"/>
              </w:rPr>
              <w:t>No.</w:t>
            </w:r>
          </w:p>
        </w:tc>
        <w:tc>
          <w:tcPr>
            <w:tcW w:w="850" w:type="dxa"/>
          </w:tcPr>
          <w:p>
            <w:pPr>
              <w:pStyle w:val="TableParagraph"/>
              <w:spacing w:before="140"/>
              <w:ind w:left="113" w:right="108"/>
              <w:jc w:val="center"/>
              <w:rPr>
                <w:b/>
                <w:sz w:val="18"/>
              </w:rPr>
            </w:pPr>
            <w:r>
              <w:rPr>
                <w:b/>
                <w:color w:val="231F20"/>
                <w:sz w:val="18"/>
              </w:rPr>
              <w:t>Priority</w:t>
            </w:r>
          </w:p>
        </w:tc>
        <w:tc>
          <w:tcPr>
            <w:tcW w:w="3966" w:type="dxa"/>
          </w:tcPr>
          <w:p>
            <w:pPr>
              <w:pStyle w:val="TableParagraph"/>
              <w:spacing w:before="140"/>
              <w:ind w:left="1692" w:right="1687"/>
              <w:jc w:val="center"/>
              <w:rPr>
                <w:b/>
                <w:sz w:val="18"/>
              </w:rPr>
            </w:pPr>
            <w:r>
              <w:rPr>
                <w:b/>
                <w:color w:val="231F20"/>
                <w:sz w:val="18"/>
              </w:rPr>
              <w:t>Actions</w:t>
            </w:r>
          </w:p>
        </w:tc>
        <w:tc>
          <w:tcPr>
            <w:tcW w:w="4252" w:type="dxa"/>
          </w:tcPr>
          <w:p>
            <w:pPr>
              <w:pStyle w:val="TableParagraph"/>
              <w:spacing w:before="140"/>
              <w:ind w:left="1786" w:right="1781"/>
              <w:jc w:val="center"/>
              <w:rPr>
                <w:b/>
                <w:sz w:val="18"/>
              </w:rPr>
            </w:pPr>
            <w:r>
              <w:rPr>
                <w:b/>
                <w:color w:val="231F20"/>
                <w:sz w:val="18"/>
              </w:rPr>
              <w:t>Outcome</w:t>
            </w:r>
          </w:p>
        </w:tc>
        <w:tc>
          <w:tcPr>
            <w:tcW w:w="850" w:type="dxa"/>
          </w:tcPr>
          <w:p>
            <w:pPr>
              <w:pStyle w:val="TableParagraph"/>
              <w:spacing w:before="140"/>
              <w:ind w:left="114" w:right="108"/>
              <w:jc w:val="center"/>
              <w:rPr>
                <w:b/>
                <w:sz w:val="18"/>
              </w:rPr>
            </w:pPr>
            <w:r>
              <w:rPr>
                <w:b/>
                <w:color w:val="231F20"/>
                <w:sz w:val="18"/>
              </w:rPr>
              <w:t>Funding</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HP</w:t>
            </w:r>
          </w:p>
        </w:tc>
        <w:tc>
          <w:tcPr>
            <w:tcW w:w="3966" w:type="dxa"/>
          </w:tcPr>
          <w:p>
            <w:pPr>
              <w:pStyle w:val="TableParagraph"/>
              <w:spacing w:line="183" w:lineRule="exact" w:before="19"/>
              <w:ind w:left="113"/>
              <w:rPr>
                <w:sz w:val="16"/>
              </w:rPr>
            </w:pPr>
            <w:r>
              <w:rPr>
                <w:color w:val="231F20"/>
                <w:sz w:val="16"/>
              </w:rPr>
              <w:t>High Priority</w:t>
            </w:r>
          </w:p>
        </w:tc>
        <w:tc>
          <w:tcPr>
            <w:tcW w:w="4252" w:type="dxa"/>
          </w:tcPr>
          <w:p>
            <w:pPr>
              <w:pStyle w:val="TableParagraph"/>
              <w:spacing w:line="183" w:lineRule="exact" w:before="19"/>
              <w:ind w:left="1032"/>
              <w:rPr>
                <w:sz w:val="16"/>
              </w:rPr>
            </w:pPr>
            <w:r>
              <w:rPr>
                <w:color w:val="231F20"/>
                <w:sz w:val="16"/>
              </w:rPr>
              <w:t>Require substantial additional funding</w:t>
            </w:r>
          </w:p>
        </w:tc>
        <w:tc>
          <w:tcPr>
            <w:tcW w:w="850" w:type="dxa"/>
          </w:tcPr>
          <w:p>
            <w:pPr>
              <w:pStyle w:val="TableParagraph"/>
              <w:spacing w:line="202" w:lineRule="exact"/>
              <w:ind w:left="5"/>
              <w:jc w:val="center"/>
              <w:rPr>
                <w:rFonts w:ascii="Arial" w:hAnsi="Arial"/>
                <w:b/>
                <w:sz w:val="24"/>
              </w:rPr>
            </w:pPr>
            <w:r>
              <w:rPr>
                <w:rFonts w:ascii="Arial" w:hAnsi="Arial"/>
                <w:b/>
                <w:color w:val="D34D49"/>
                <w:sz w:val="24"/>
              </w:rPr>
              <w:t>■</w:t>
            </w:r>
          </w:p>
        </w:tc>
      </w:tr>
      <w:tr>
        <w:trPr>
          <w:trHeight w:val="221" w:hRule="atLeast"/>
        </w:trPr>
        <w:tc>
          <w:tcPr>
            <w:tcW w:w="567" w:type="dxa"/>
          </w:tcPr>
          <w:p>
            <w:pPr>
              <w:pStyle w:val="TableParagraph"/>
              <w:rPr>
                <w:rFonts w:ascii="Times New Roman"/>
                <w:sz w:val="14"/>
              </w:rPr>
            </w:pPr>
          </w:p>
        </w:tc>
        <w:tc>
          <w:tcPr>
            <w:tcW w:w="850" w:type="dxa"/>
          </w:tcPr>
          <w:p>
            <w:pPr>
              <w:pStyle w:val="TableParagraph"/>
              <w:spacing w:line="175" w:lineRule="exact" w:before="26"/>
              <w:ind w:left="114" w:right="107"/>
              <w:jc w:val="center"/>
              <w:rPr>
                <w:b/>
                <w:sz w:val="18"/>
              </w:rPr>
            </w:pPr>
            <w:r>
              <w:rPr>
                <w:b/>
                <w:color w:val="231F20"/>
                <w:sz w:val="18"/>
              </w:rPr>
              <w:t>MP</w:t>
            </w:r>
          </w:p>
        </w:tc>
        <w:tc>
          <w:tcPr>
            <w:tcW w:w="3966" w:type="dxa"/>
          </w:tcPr>
          <w:p>
            <w:pPr>
              <w:pStyle w:val="TableParagraph"/>
              <w:spacing w:line="183" w:lineRule="exact" w:before="19"/>
              <w:ind w:left="113"/>
              <w:rPr>
                <w:sz w:val="16"/>
              </w:rPr>
            </w:pPr>
            <w:r>
              <w:rPr>
                <w:color w:val="231F20"/>
                <w:sz w:val="16"/>
              </w:rPr>
              <w:t>Medium Priority</w:t>
            </w:r>
          </w:p>
        </w:tc>
        <w:tc>
          <w:tcPr>
            <w:tcW w:w="4252" w:type="dxa"/>
          </w:tcPr>
          <w:p>
            <w:pPr>
              <w:pStyle w:val="TableParagraph"/>
              <w:spacing w:line="183" w:lineRule="exact" w:before="19"/>
              <w:ind w:left="1163"/>
              <w:rPr>
                <w:sz w:val="16"/>
              </w:rPr>
            </w:pPr>
            <w:r>
              <w:rPr>
                <w:color w:val="231F20"/>
                <w:sz w:val="16"/>
              </w:rPr>
              <w:t>Some additional funding required</w:t>
            </w:r>
          </w:p>
        </w:tc>
        <w:tc>
          <w:tcPr>
            <w:tcW w:w="850" w:type="dxa"/>
          </w:tcPr>
          <w:p>
            <w:pPr>
              <w:pStyle w:val="TableParagraph"/>
              <w:spacing w:line="202" w:lineRule="exact"/>
              <w:ind w:left="5"/>
              <w:jc w:val="center"/>
              <w:rPr>
                <w:rFonts w:ascii="Arial"/>
                <w:sz w:val="24"/>
              </w:rPr>
            </w:pPr>
            <w:r>
              <w:rPr>
                <w:rFonts w:ascii="Arial"/>
                <w:color w:val="FDB933"/>
                <w:w w:val="268"/>
                <w:sz w:val="24"/>
              </w:rPr>
              <w:t>t</w:t>
            </w:r>
          </w:p>
        </w:tc>
      </w:tr>
      <w:tr>
        <w:trPr>
          <w:trHeight w:val="214" w:hRule="atLeast"/>
        </w:trPr>
        <w:tc>
          <w:tcPr>
            <w:tcW w:w="567" w:type="dxa"/>
            <w:tcBorders>
              <w:bottom w:val="single" w:sz="8" w:space="0" w:color="231F20"/>
            </w:tcBorders>
          </w:tcPr>
          <w:p>
            <w:pPr>
              <w:pStyle w:val="TableParagraph"/>
              <w:rPr>
                <w:rFonts w:ascii="Times New Roman"/>
                <w:sz w:val="14"/>
              </w:rPr>
            </w:pPr>
          </w:p>
        </w:tc>
        <w:tc>
          <w:tcPr>
            <w:tcW w:w="850" w:type="dxa"/>
            <w:tcBorders>
              <w:bottom w:val="single" w:sz="8" w:space="0" w:color="231F20"/>
            </w:tcBorders>
          </w:tcPr>
          <w:p>
            <w:pPr>
              <w:pStyle w:val="TableParagraph"/>
              <w:spacing w:line="172" w:lineRule="exact" w:before="22"/>
              <w:ind w:left="114" w:right="107"/>
              <w:jc w:val="center"/>
              <w:rPr>
                <w:b/>
                <w:sz w:val="18"/>
              </w:rPr>
            </w:pPr>
            <w:r>
              <w:rPr>
                <w:b/>
                <w:color w:val="231F20"/>
                <w:sz w:val="18"/>
              </w:rPr>
              <w:t>LP</w:t>
            </w:r>
          </w:p>
        </w:tc>
        <w:tc>
          <w:tcPr>
            <w:tcW w:w="3966" w:type="dxa"/>
            <w:tcBorders>
              <w:bottom w:val="single" w:sz="8" w:space="0" w:color="231F20"/>
            </w:tcBorders>
          </w:tcPr>
          <w:p>
            <w:pPr>
              <w:pStyle w:val="TableParagraph"/>
              <w:spacing w:line="179" w:lineRule="exact" w:before="15"/>
              <w:ind w:left="113"/>
              <w:rPr>
                <w:sz w:val="16"/>
              </w:rPr>
            </w:pPr>
            <w:r>
              <w:rPr>
                <w:color w:val="231F20"/>
                <w:sz w:val="16"/>
              </w:rPr>
              <w:t>Low Priority</w:t>
            </w:r>
          </w:p>
        </w:tc>
        <w:tc>
          <w:tcPr>
            <w:tcW w:w="4252" w:type="dxa"/>
            <w:tcBorders>
              <w:bottom w:val="single" w:sz="8" w:space="0" w:color="231F20"/>
            </w:tcBorders>
          </w:tcPr>
          <w:p>
            <w:pPr>
              <w:pStyle w:val="TableParagraph"/>
              <w:spacing w:line="179" w:lineRule="exact" w:before="15"/>
              <w:ind w:left="313"/>
              <w:rPr>
                <w:sz w:val="16"/>
              </w:rPr>
            </w:pPr>
            <w:r>
              <w:rPr>
                <w:color w:val="231F20"/>
                <w:sz w:val="16"/>
              </w:rPr>
              <w:t>Little / no additional funding required — use existing resources</w:t>
            </w:r>
          </w:p>
        </w:tc>
        <w:tc>
          <w:tcPr>
            <w:tcW w:w="850" w:type="dxa"/>
            <w:tcBorders>
              <w:bottom w:val="single" w:sz="8" w:space="0" w:color="231F20"/>
            </w:tcBorders>
          </w:tcPr>
          <w:p>
            <w:pPr>
              <w:pStyle w:val="TableParagraph"/>
              <w:spacing w:line="194" w:lineRule="exact"/>
              <w:ind w:left="5"/>
              <w:jc w:val="center"/>
              <w:rPr>
                <w:rFonts w:ascii="Arial"/>
                <w:sz w:val="24"/>
              </w:rPr>
            </w:pPr>
            <w:r>
              <w:rPr>
                <w:rFonts w:ascii="Arial"/>
                <w:color w:val="1BB78D"/>
                <w:w w:val="336"/>
                <w:sz w:val="24"/>
              </w:rPr>
              <w:t>l</w:t>
            </w:r>
          </w:p>
        </w:tc>
      </w:tr>
      <w:tr>
        <w:trPr>
          <w:trHeight w:val="448" w:hRule="atLeast"/>
        </w:trPr>
        <w:tc>
          <w:tcPr>
            <w:tcW w:w="567" w:type="dxa"/>
            <w:tcBorders>
              <w:top w:val="single" w:sz="8" w:space="0" w:color="231F20"/>
            </w:tcBorders>
          </w:tcPr>
          <w:p>
            <w:pPr>
              <w:pStyle w:val="TableParagraph"/>
              <w:spacing w:before="140"/>
              <w:ind w:left="4"/>
              <w:jc w:val="center"/>
              <w:rPr>
                <w:b/>
                <w:sz w:val="18"/>
              </w:rPr>
            </w:pPr>
            <w:r>
              <w:rPr>
                <w:b/>
                <w:color w:val="231F20"/>
                <w:sz w:val="18"/>
              </w:rPr>
              <w:t>5</w:t>
            </w:r>
          </w:p>
        </w:tc>
        <w:tc>
          <w:tcPr>
            <w:tcW w:w="850" w:type="dxa"/>
            <w:tcBorders>
              <w:top w:val="single" w:sz="8" w:space="0" w:color="231F20"/>
            </w:tcBorders>
          </w:tcPr>
          <w:p>
            <w:pPr>
              <w:pStyle w:val="TableParagraph"/>
              <w:rPr>
                <w:rFonts w:ascii="Times New Roman"/>
                <w:sz w:val="18"/>
              </w:rPr>
            </w:pPr>
          </w:p>
        </w:tc>
        <w:tc>
          <w:tcPr>
            <w:tcW w:w="9068" w:type="dxa"/>
            <w:gridSpan w:val="3"/>
            <w:tcBorders>
              <w:top w:val="single" w:sz="8" w:space="0" w:color="231F20"/>
            </w:tcBorders>
          </w:tcPr>
          <w:p>
            <w:pPr>
              <w:pStyle w:val="TableParagraph"/>
              <w:spacing w:before="140"/>
              <w:ind w:left="113"/>
              <w:rPr>
                <w:b/>
                <w:sz w:val="18"/>
              </w:rPr>
            </w:pPr>
            <w:r>
              <w:rPr>
                <w:b/>
                <w:color w:val="231F20"/>
                <w:sz w:val="18"/>
              </w:rPr>
              <w:t>Action 5: Prioritise, Resource and Budget for the UF</w:t>
            </w:r>
          </w:p>
        </w:tc>
      </w:tr>
      <w:tr>
        <w:trPr>
          <w:trHeight w:val="335" w:hRule="atLeast"/>
        </w:trPr>
        <w:tc>
          <w:tcPr>
            <w:tcW w:w="567" w:type="dxa"/>
          </w:tcPr>
          <w:p>
            <w:pPr>
              <w:pStyle w:val="TableParagraph"/>
              <w:spacing w:before="83"/>
              <w:ind w:left="98" w:right="94"/>
              <w:jc w:val="center"/>
              <w:rPr>
                <w:b/>
                <w:sz w:val="18"/>
              </w:rPr>
            </w:pPr>
            <w:r>
              <w:rPr>
                <w:b/>
                <w:color w:val="231F20"/>
                <w:sz w:val="18"/>
              </w:rPr>
              <w:t>5.1</w:t>
            </w:r>
          </w:p>
        </w:tc>
        <w:tc>
          <w:tcPr>
            <w:tcW w:w="850" w:type="dxa"/>
          </w:tcPr>
          <w:p>
            <w:pPr>
              <w:pStyle w:val="TableParagraph"/>
              <w:spacing w:before="83"/>
              <w:ind w:left="114" w:right="107"/>
              <w:jc w:val="center"/>
              <w:rPr>
                <w:b/>
                <w:sz w:val="18"/>
              </w:rPr>
            </w:pPr>
            <w:r>
              <w:rPr>
                <w:b/>
                <w:color w:val="231F20"/>
                <w:sz w:val="18"/>
              </w:rPr>
              <w:t>HP</w:t>
            </w:r>
          </w:p>
        </w:tc>
        <w:tc>
          <w:tcPr>
            <w:tcW w:w="3966" w:type="dxa"/>
          </w:tcPr>
          <w:p>
            <w:pPr>
              <w:pStyle w:val="TableParagraph"/>
              <w:spacing w:before="83"/>
              <w:ind w:left="113"/>
              <w:rPr>
                <w:b/>
                <w:sz w:val="18"/>
              </w:rPr>
            </w:pPr>
            <w:r>
              <w:rPr>
                <w:b/>
                <w:color w:val="231F20"/>
                <w:sz w:val="18"/>
              </w:rPr>
              <w:t>Priorities</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84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96"/>
              <w:ind w:left="113" w:right="759"/>
              <w:rPr>
                <w:sz w:val="18"/>
              </w:rPr>
            </w:pPr>
            <w:r>
              <w:rPr>
                <w:color w:val="231F20"/>
                <w:sz w:val="18"/>
              </w:rPr>
              <w:t>Prioritise activities to make UFS activities more achievable</w:t>
            </w:r>
          </w:p>
          <w:p>
            <w:pPr>
              <w:pStyle w:val="TableParagraph"/>
              <w:spacing w:before="51"/>
              <w:ind w:left="113"/>
              <w:rPr>
                <w:sz w:val="18"/>
              </w:rPr>
            </w:pPr>
            <w:r>
              <w:rPr>
                <w:color w:val="231F20"/>
                <w:sz w:val="18"/>
              </w:rPr>
              <w:t>Council endorsement of priorities as set</w:t>
            </w:r>
          </w:p>
        </w:tc>
        <w:tc>
          <w:tcPr>
            <w:tcW w:w="4252" w:type="dxa"/>
          </w:tcPr>
          <w:p>
            <w:pPr>
              <w:pStyle w:val="TableParagraph"/>
              <w:spacing w:before="5"/>
              <w:rPr>
                <w:sz w:val="29"/>
              </w:rPr>
            </w:pPr>
          </w:p>
          <w:p>
            <w:pPr>
              <w:pStyle w:val="TableParagraph"/>
              <w:ind w:left="113"/>
              <w:rPr>
                <w:b/>
                <w:sz w:val="18"/>
              </w:rPr>
            </w:pPr>
            <w:r>
              <w:rPr>
                <w:b/>
                <w:color w:val="231F20"/>
                <w:sz w:val="18"/>
              </w:rPr>
              <w:t>Priorities established</w:t>
            </w:r>
          </w:p>
        </w:tc>
        <w:tc>
          <w:tcPr>
            <w:tcW w:w="850" w:type="dxa"/>
          </w:tcPr>
          <w:p>
            <w:pPr>
              <w:pStyle w:val="TableParagraph"/>
              <w:spacing w:before="3"/>
              <w:rPr>
                <w:sz w:val="25"/>
              </w:rPr>
            </w:pPr>
          </w:p>
          <w:p>
            <w:pPr>
              <w:pStyle w:val="TableParagraph"/>
              <w:ind w:left="5"/>
              <w:jc w:val="center"/>
              <w:rPr>
                <w:rFonts w:ascii="Arial"/>
                <w:sz w:val="24"/>
              </w:rPr>
            </w:pPr>
            <w:r>
              <w:rPr>
                <w:rFonts w:ascii="Arial"/>
                <w:color w:val="1BB78D"/>
                <w:w w:val="336"/>
                <w:sz w:val="24"/>
              </w:rPr>
              <w:t>l</w:t>
            </w:r>
          </w:p>
        </w:tc>
      </w:tr>
      <w:tr>
        <w:trPr>
          <w:trHeight w:val="335" w:hRule="atLeast"/>
        </w:trPr>
        <w:tc>
          <w:tcPr>
            <w:tcW w:w="567" w:type="dxa"/>
          </w:tcPr>
          <w:p>
            <w:pPr>
              <w:pStyle w:val="TableParagraph"/>
              <w:spacing w:before="83"/>
              <w:ind w:left="98" w:right="94"/>
              <w:jc w:val="center"/>
              <w:rPr>
                <w:b/>
                <w:sz w:val="18"/>
              </w:rPr>
            </w:pPr>
            <w:r>
              <w:rPr>
                <w:b/>
                <w:color w:val="231F20"/>
                <w:sz w:val="18"/>
              </w:rPr>
              <w:t>5.2</w:t>
            </w:r>
          </w:p>
        </w:tc>
        <w:tc>
          <w:tcPr>
            <w:tcW w:w="850" w:type="dxa"/>
          </w:tcPr>
          <w:p>
            <w:pPr>
              <w:pStyle w:val="TableParagraph"/>
              <w:spacing w:before="83"/>
              <w:ind w:left="114" w:right="107"/>
              <w:jc w:val="center"/>
              <w:rPr>
                <w:b/>
                <w:sz w:val="18"/>
              </w:rPr>
            </w:pPr>
            <w:r>
              <w:rPr>
                <w:b/>
                <w:color w:val="231F20"/>
                <w:sz w:val="18"/>
              </w:rPr>
              <w:t>HP</w:t>
            </w:r>
          </w:p>
        </w:tc>
        <w:tc>
          <w:tcPr>
            <w:tcW w:w="3966" w:type="dxa"/>
          </w:tcPr>
          <w:p>
            <w:pPr>
              <w:pStyle w:val="TableParagraph"/>
              <w:spacing w:before="83"/>
              <w:ind w:left="113"/>
              <w:rPr>
                <w:b/>
                <w:sz w:val="18"/>
              </w:rPr>
            </w:pPr>
            <w:r>
              <w:rPr>
                <w:b/>
                <w:color w:val="231F20"/>
                <w:sz w:val="18"/>
              </w:rPr>
              <w:t>Resourcing</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33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before="64"/>
              <w:ind w:left="113"/>
              <w:rPr>
                <w:sz w:val="18"/>
              </w:rPr>
            </w:pPr>
            <w:r>
              <w:rPr>
                <w:color w:val="231F20"/>
                <w:sz w:val="18"/>
              </w:rPr>
              <w:t>Formulate resourcing needed for strategy</w:t>
            </w:r>
          </w:p>
        </w:tc>
        <w:tc>
          <w:tcPr>
            <w:tcW w:w="4252" w:type="dxa"/>
          </w:tcPr>
          <w:p>
            <w:pPr>
              <w:pStyle w:val="TableParagraph"/>
              <w:spacing w:before="83"/>
              <w:ind w:left="113"/>
              <w:rPr>
                <w:b/>
                <w:sz w:val="18"/>
              </w:rPr>
            </w:pPr>
            <w:r>
              <w:rPr>
                <w:b/>
                <w:color w:val="231F20"/>
                <w:sz w:val="18"/>
              </w:rPr>
              <w:t>Resourcing of priorities prepared</w:t>
            </w:r>
          </w:p>
        </w:tc>
        <w:tc>
          <w:tcPr>
            <w:tcW w:w="850" w:type="dxa"/>
          </w:tcPr>
          <w:p>
            <w:pPr>
              <w:pStyle w:val="TableParagraph"/>
              <w:spacing w:before="35"/>
              <w:ind w:left="5"/>
              <w:jc w:val="center"/>
              <w:rPr>
                <w:rFonts w:ascii="Arial"/>
                <w:sz w:val="24"/>
              </w:rPr>
            </w:pPr>
            <w:r>
              <w:rPr>
                <w:rFonts w:ascii="Arial"/>
                <w:color w:val="1BB78D"/>
                <w:w w:val="336"/>
                <w:sz w:val="24"/>
              </w:rPr>
              <w:t>l</w:t>
            </w:r>
          </w:p>
        </w:tc>
      </w:tr>
      <w:tr>
        <w:trPr>
          <w:trHeight w:val="337" w:hRule="atLeast"/>
        </w:trPr>
        <w:tc>
          <w:tcPr>
            <w:tcW w:w="567" w:type="dxa"/>
          </w:tcPr>
          <w:p>
            <w:pPr>
              <w:pStyle w:val="TableParagraph"/>
              <w:spacing w:before="84"/>
              <w:ind w:left="98" w:right="94"/>
              <w:jc w:val="center"/>
              <w:rPr>
                <w:b/>
                <w:sz w:val="18"/>
              </w:rPr>
            </w:pPr>
            <w:r>
              <w:rPr>
                <w:b/>
                <w:color w:val="231F20"/>
                <w:sz w:val="18"/>
              </w:rPr>
              <w:t>5.3</w:t>
            </w:r>
          </w:p>
        </w:tc>
        <w:tc>
          <w:tcPr>
            <w:tcW w:w="850" w:type="dxa"/>
          </w:tcPr>
          <w:p>
            <w:pPr>
              <w:pStyle w:val="TableParagraph"/>
              <w:spacing w:before="84"/>
              <w:ind w:left="114" w:right="107"/>
              <w:jc w:val="center"/>
              <w:rPr>
                <w:b/>
                <w:sz w:val="18"/>
              </w:rPr>
            </w:pPr>
            <w:r>
              <w:rPr>
                <w:b/>
                <w:color w:val="231F20"/>
                <w:sz w:val="18"/>
              </w:rPr>
              <w:t>HP</w:t>
            </w:r>
          </w:p>
        </w:tc>
        <w:tc>
          <w:tcPr>
            <w:tcW w:w="3966" w:type="dxa"/>
          </w:tcPr>
          <w:p>
            <w:pPr>
              <w:pStyle w:val="TableParagraph"/>
              <w:spacing w:before="84"/>
              <w:ind w:left="113"/>
              <w:rPr>
                <w:b/>
                <w:sz w:val="18"/>
              </w:rPr>
            </w:pPr>
            <w:r>
              <w:rPr>
                <w:b/>
                <w:color w:val="231F20"/>
                <w:sz w:val="18"/>
              </w:rPr>
              <w:t>Budget</w:t>
            </w:r>
          </w:p>
        </w:tc>
        <w:tc>
          <w:tcPr>
            <w:tcW w:w="4252" w:type="dxa"/>
          </w:tcPr>
          <w:p>
            <w:pPr>
              <w:pStyle w:val="TableParagraph"/>
              <w:rPr>
                <w:rFonts w:ascii="Times New Roman"/>
                <w:sz w:val="18"/>
              </w:rPr>
            </w:pPr>
          </w:p>
        </w:tc>
        <w:tc>
          <w:tcPr>
            <w:tcW w:w="850" w:type="dxa"/>
          </w:tcPr>
          <w:p>
            <w:pPr>
              <w:pStyle w:val="TableParagraph"/>
              <w:rPr>
                <w:rFonts w:ascii="Times New Roman"/>
                <w:sz w:val="18"/>
              </w:rPr>
            </w:pPr>
          </w:p>
        </w:tc>
      </w:tr>
      <w:tr>
        <w:trPr>
          <w:trHeight w:val="67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139"/>
              <w:ind w:left="113" w:right="119"/>
              <w:rPr>
                <w:sz w:val="18"/>
              </w:rPr>
            </w:pPr>
            <w:r>
              <w:rPr>
                <w:color w:val="231F20"/>
                <w:sz w:val="18"/>
              </w:rPr>
              <w:t>Formulate budget bids for achieving strategy priorities as endorsed</w:t>
            </w:r>
          </w:p>
        </w:tc>
        <w:tc>
          <w:tcPr>
            <w:tcW w:w="4252" w:type="dxa"/>
          </w:tcPr>
          <w:p>
            <w:pPr>
              <w:pStyle w:val="TableParagraph"/>
              <w:rPr>
                <w:sz w:val="22"/>
              </w:rPr>
            </w:pPr>
          </w:p>
          <w:p>
            <w:pPr>
              <w:pStyle w:val="TableParagraph"/>
              <w:ind w:left="113"/>
              <w:rPr>
                <w:b/>
                <w:sz w:val="18"/>
              </w:rPr>
            </w:pPr>
            <w:r>
              <w:rPr>
                <w:b/>
                <w:color w:val="231F20"/>
                <w:sz w:val="18"/>
              </w:rPr>
              <w:t>Prioritised budget prepared</w:t>
            </w:r>
          </w:p>
        </w:tc>
        <w:tc>
          <w:tcPr>
            <w:tcW w:w="850" w:type="dxa"/>
          </w:tcPr>
          <w:p>
            <w:pPr>
              <w:pStyle w:val="TableParagraph"/>
              <w:spacing w:before="205"/>
              <w:ind w:left="47"/>
              <w:jc w:val="center"/>
              <w:rPr>
                <w:rFonts w:ascii="Arial"/>
                <w:sz w:val="24"/>
              </w:rPr>
            </w:pPr>
            <w:r>
              <w:rPr>
                <w:rFonts w:ascii="Arial"/>
                <w:color w:val="1BB78D"/>
                <w:w w:val="336"/>
                <w:sz w:val="24"/>
              </w:rPr>
              <w:t>l</w:t>
            </w:r>
          </w:p>
        </w:tc>
      </w:tr>
      <w:tr>
        <w:trPr>
          <w:trHeight w:val="675" w:hRule="atLeast"/>
        </w:trPr>
        <w:tc>
          <w:tcPr>
            <w:tcW w:w="567" w:type="dxa"/>
          </w:tcPr>
          <w:p>
            <w:pPr>
              <w:pStyle w:val="TableParagraph"/>
              <w:rPr>
                <w:rFonts w:ascii="Times New Roman"/>
                <w:sz w:val="18"/>
              </w:rPr>
            </w:pPr>
          </w:p>
        </w:tc>
        <w:tc>
          <w:tcPr>
            <w:tcW w:w="850" w:type="dxa"/>
          </w:tcPr>
          <w:p>
            <w:pPr>
              <w:pStyle w:val="TableParagraph"/>
              <w:rPr>
                <w:rFonts w:ascii="Times New Roman"/>
                <w:sz w:val="18"/>
              </w:rPr>
            </w:pPr>
          </w:p>
        </w:tc>
        <w:tc>
          <w:tcPr>
            <w:tcW w:w="3966" w:type="dxa"/>
          </w:tcPr>
          <w:p>
            <w:pPr>
              <w:pStyle w:val="TableParagraph"/>
              <w:spacing w:line="232" w:lineRule="auto" w:before="39"/>
              <w:ind w:left="113" w:right="636"/>
              <w:rPr>
                <w:sz w:val="18"/>
              </w:rPr>
            </w:pPr>
            <w:r>
              <w:rPr>
                <w:color w:val="231F20"/>
                <w:sz w:val="18"/>
              </w:rPr>
              <w:t>Gain Council provision budgets that allows the achievement of all objectives in the Urban Forest Strategy</w:t>
            </w:r>
          </w:p>
        </w:tc>
        <w:tc>
          <w:tcPr>
            <w:tcW w:w="4252" w:type="dxa"/>
          </w:tcPr>
          <w:p>
            <w:pPr>
              <w:pStyle w:val="TableParagraph"/>
              <w:rPr>
                <w:sz w:val="22"/>
              </w:rPr>
            </w:pPr>
          </w:p>
          <w:p>
            <w:pPr>
              <w:pStyle w:val="TableParagraph"/>
              <w:ind w:left="113"/>
              <w:rPr>
                <w:sz w:val="18"/>
              </w:rPr>
            </w:pPr>
            <w:r>
              <w:rPr>
                <w:color w:val="231F20"/>
                <w:sz w:val="18"/>
              </w:rPr>
              <w:t>Council </w:t>
            </w:r>
            <w:r>
              <w:rPr>
                <w:b/>
                <w:color w:val="231F20"/>
                <w:sz w:val="18"/>
              </w:rPr>
              <w:t>approval of budgets </w:t>
            </w:r>
            <w:r>
              <w:rPr>
                <w:color w:val="231F20"/>
                <w:sz w:val="18"/>
              </w:rPr>
              <w:t>for prioritised project items</w:t>
            </w:r>
          </w:p>
        </w:tc>
        <w:tc>
          <w:tcPr>
            <w:tcW w:w="850" w:type="dxa"/>
          </w:tcPr>
          <w:p>
            <w:pPr>
              <w:pStyle w:val="TableParagraph"/>
              <w:spacing w:before="205"/>
              <w:ind w:left="5"/>
              <w:jc w:val="center"/>
              <w:rPr>
                <w:rFonts w:ascii="Arial"/>
                <w:sz w:val="24"/>
              </w:rPr>
            </w:pPr>
            <w:r>
              <w:rPr>
                <w:rFonts w:ascii="Arial"/>
                <w:color w:val="1BB78D"/>
                <w:w w:val="336"/>
                <w:sz w:val="24"/>
              </w:rPr>
              <w:t>l</w:t>
            </w:r>
          </w:p>
        </w:tc>
      </w:tr>
    </w:tbl>
    <w:p>
      <w:pPr>
        <w:spacing w:after="0"/>
        <w:jc w:val="center"/>
        <w:rPr>
          <w:rFonts w:ascii="Arial"/>
          <w:sz w:val="24"/>
        </w:rPr>
        <w:sectPr>
          <w:pgSz w:w="11910" w:h="16840"/>
          <w:pgMar w:header="0" w:footer="779" w:top="560" w:bottom="960" w:left="460" w:right="440"/>
        </w:sectPr>
      </w:pPr>
    </w:p>
    <w:p>
      <w:pPr>
        <w:pStyle w:val="BodyText"/>
        <w:rPr>
          <w:sz w:val="20"/>
        </w:rPr>
      </w:pPr>
    </w:p>
    <w:p>
      <w:pPr>
        <w:spacing w:after="0"/>
        <w:rPr>
          <w:sz w:val="20"/>
        </w:rPr>
        <w:sectPr>
          <w:pgSz w:w="11910" w:h="16840"/>
          <w:pgMar w:header="0" w:footer="779" w:top="920" w:bottom="960" w:left="460" w:right="440"/>
        </w:sectPr>
      </w:pPr>
    </w:p>
    <w:p>
      <w:pPr>
        <w:spacing w:before="216"/>
        <w:ind w:left="1347" w:right="0" w:firstLine="0"/>
        <w:jc w:val="left"/>
        <w:rPr>
          <w:i/>
          <w:sz w:val="24"/>
        </w:rPr>
      </w:pPr>
      <w:r>
        <w:rPr/>
        <w:pict>
          <v:group style="position:absolute;margin-left:22.676901pt;margin-top:28.346714pt;width:530.1pt;height:772.1pt;mso-position-horizontal-relative:page;mso-position-vertical-relative:page;z-index:-94672"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w10:wrap type="none"/>
          </v:group>
        </w:pict>
      </w:r>
      <w:r>
        <w:rPr/>
        <w:pict>
          <v:shape style="position:absolute;margin-left:34.015701pt;margin-top:-7.862083pt;width:21.9pt;height:55.1pt;mso-position-horizontal-relative:page;mso-position-vertical-relative:paragraph;z-index:2296" type="#_x0000_t202" filled="false" stroked="false">
            <v:textbox inset="0,0,0,0">
              <w:txbxContent>
                <w:p>
                  <w:pPr>
                    <w:spacing w:line="1100" w:lineRule="exact" w:before="0"/>
                    <w:ind w:left="0" w:right="0" w:firstLine="0"/>
                    <w:jc w:val="left"/>
                    <w:rPr>
                      <w:b/>
                      <w:sz w:val="96"/>
                    </w:rPr>
                  </w:pPr>
                  <w:r>
                    <w:rPr>
                      <w:b/>
                      <w:color w:val="808285"/>
                      <w:sz w:val="96"/>
                    </w:rPr>
                    <w:t>5</w:t>
                  </w:r>
                </w:p>
              </w:txbxContent>
            </v:textbox>
            <w10:wrap type="none"/>
          </v:shape>
        </w:pict>
      </w:r>
      <w:r>
        <w:rPr>
          <w:i/>
          <w:color w:val="231F20"/>
          <w:sz w:val="24"/>
        </w:rPr>
        <w:t>Marrickville Council</w:t>
      </w:r>
    </w:p>
    <w:p>
      <w:pPr>
        <w:spacing w:before="25"/>
        <w:ind w:left="966" w:right="0" w:firstLine="0"/>
        <w:jc w:val="left"/>
        <w:rPr>
          <w:b/>
          <w:i/>
          <w:sz w:val="24"/>
        </w:rPr>
      </w:pPr>
      <w:r>
        <w:rPr>
          <w:b/>
          <w:i/>
          <w:color w:val="231F20"/>
          <w:sz w:val="24"/>
        </w:rPr>
        <w:t>Urban  Forest Strategy</w:t>
      </w:r>
    </w:p>
    <w:p>
      <w:pPr>
        <w:pStyle w:val="BodyText"/>
        <w:spacing w:before="8"/>
        <w:rPr>
          <w:b/>
          <w:i/>
          <w:sz w:val="41"/>
        </w:rPr>
      </w:pPr>
      <w:r>
        <w:rPr/>
        <w:br w:type="column"/>
      </w:r>
      <w:r>
        <w:rPr>
          <w:b/>
          <w:i/>
          <w:sz w:val="41"/>
        </w:rPr>
      </w:r>
    </w:p>
    <w:p>
      <w:pPr>
        <w:spacing w:before="0"/>
        <w:ind w:left="220" w:right="0" w:firstLine="0"/>
        <w:jc w:val="left"/>
        <w:rPr>
          <w:b/>
          <w:sz w:val="28"/>
        </w:rPr>
      </w:pPr>
      <w:r>
        <w:rPr>
          <w:b/>
          <w:color w:val="231F20"/>
          <w:sz w:val="28"/>
        </w:rPr>
        <w:t>APPENDICES</w:t>
      </w:r>
    </w:p>
    <w:p>
      <w:pPr>
        <w:spacing w:after="0"/>
        <w:jc w:val="left"/>
        <w:rPr>
          <w:sz w:val="28"/>
        </w:rPr>
        <w:sectPr>
          <w:type w:val="continuous"/>
          <w:pgSz w:w="11910" w:h="16840"/>
          <w:pgMar w:top="1360" w:bottom="280" w:left="460" w:right="440"/>
          <w:cols w:num="2" w:equalWidth="0">
            <w:col w:w="3276" w:space="296"/>
            <w:col w:w="7438"/>
          </w:cols>
        </w:sectPr>
      </w:pPr>
    </w:p>
    <w:p>
      <w:pPr>
        <w:pStyle w:val="BodyText"/>
        <w:rPr>
          <w:b/>
          <w:sz w:val="32"/>
        </w:rPr>
      </w:pPr>
    </w:p>
    <w:p>
      <w:pPr>
        <w:pStyle w:val="BodyText"/>
        <w:spacing w:before="8"/>
        <w:rPr>
          <w:b/>
          <w:sz w:val="29"/>
        </w:rPr>
      </w:pPr>
    </w:p>
    <w:p>
      <w:pPr>
        <w:spacing w:before="0"/>
        <w:ind w:left="390" w:right="0" w:firstLine="0"/>
        <w:jc w:val="left"/>
        <w:rPr>
          <w:b/>
          <w:sz w:val="28"/>
        </w:rPr>
      </w:pPr>
      <w:r>
        <w:rPr>
          <w:b/>
          <w:color w:val="231F20"/>
          <w:sz w:val="28"/>
        </w:rPr>
        <w:t>BACKGROUND</w:t>
      </w:r>
    </w:p>
    <w:p>
      <w:pPr>
        <w:tabs>
          <w:tab w:pos="3244" w:val="left" w:leader="none"/>
        </w:tabs>
        <w:spacing w:line="631" w:lineRule="exact" w:before="126"/>
        <w:ind w:left="771" w:right="0" w:firstLine="0"/>
        <w:jc w:val="left"/>
        <w:rPr>
          <w:b/>
          <w:sz w:val="56"/>
        </w:rPr>
      </w:pPr>
      <w:r>
        <w:rPr/>
        <w:br w:type="column"/>
      </w:r>
      <w:r>
        <w:rPr>
          <w:i/>
          <w:color w:val="231F20"/>
          <w:spacing w:val="6"/>
          <w:sz w:val="24"/>
        </w:rPr>
        <w:t>Marrickville</w:t>
      </w:r>
      <w:r>
        <w:rPr>
          <w:i/>
          <w:color w:val="231F20"/>
          <w:spacing w:val="22"/>
          <w:sz w:val="24"/>
        </w:rPr>
        <w:t> </w:t>
      </w:r>
      <w:r>
        <w:rPr>
          <w:i/>
          <w:color w:val="231F20"/>
          <w:spacing w:val="5"/>
          <w:sz w:val="24"/>
        </w:rPr>
        <w:t>Council</w:t>
        <w:tab/>
      </w:r>
      <w:r>
        <w:rPr>
          <w:b/>
          <w:color w:val="808285"/>
          <w:position w:val="2"/>
          <w:sz w:val="56"/>
        </w:rPr>
        <w:t>a</w:t>
      </w:r>
    </w:p>
    <w:p>
      <w:pPr>
        <w:spacing w:line="264" w:lineRule="exact" w:before="0"/>
        <w:ind w:left="390" w:right="0" w:firstLine="0"/>
        <w:jc w:val="left"/>
        <w:rPr>
          <w:b/>
          <w:i/>
          <w:sz w:val="24"/>
        </w:rPr>
      </w:pPr>
      <w:r>
        <w:rPr/>
        <w:pict>
          <v:shape style="position:absolute;margin-left:534.676270pt;margin-top:-34.239231pt;width:19.5pt;height:55.1pt;mso-position-horizontal-relative:page;mso-position-vertical-relative:paragraph;z-index:-94600"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b/>
          <w:i/>
          <w:color w:val="231F20"/>
          <w:sz w:val="24"/>
        </w:rPr>
        <w:t>Urban Forest Strategy</w:t>
      </w:r>
    </w:p>
    <w:p>
      <w:pPr>
        <w:spacing w:after="0" w:line="264" w:lineRule="exact"/>
        <w:jc w:val="left"/>
        <w:rPr>
          <w:sz w:val="24"/>
        </w:rPr>
        <w:sectPr>
          <w:pgSz w:w="11910" w:h="16840"/>
          <w:pgMar w:header="0" w:footer="779" w:top="920" w:bottom="960" w:left="460" w:right="440"/>
          <w:cols w:num="2" w:equalWidth="0">
            <w:col w:w="2226" w:space="5153"/>
            <w:col w:w="3631"/>
          </w:cols>
        </w:sectPr>
      </w:pPr>
    </w:p>
    <w:p>
      <w:pPr>
        <w:pStyle w:val="BodyText"/>
        <w:rPr>
          <w:b/>
          <w:i/>
          <w:sz w:val="20"/>
        </w:rPr>
      </w:pPr>
    </w:p>
    <w:p>
      <w:pPr>
        <w:pStyle w:val="BodyText"/>
        <w:rPr>
          <w:b/>
          <w:i/>
          <w:sz w:val="25"/>
        </w:rPr>
      </w:pPr>
    </w:p>
    <w:p>
      <w:pPr>
        <w:spacing w:before="100"/>
        <w:ind w:left="390" w:right="0" w:firstLine="0"/>
        <w:jc w:val="left"/>
        <w:rPr>
          <w:b/>
          <w:sz w:val="24"/>
        </w:rPr>
      </w:pPr>
      <w:r>
        <w:rPr>
          <w:b/>
          <w:color w:val="231F20"/>
          <w:sz w:val="24"/>
        </w:rPr>
        <w:t>General</w:t>
      </w:r>
    </w:p>
    <w:p>
      <w:pPr>
        <w:pStyle w:val="BodyText"/>
        <w:spacing w:before="2"/>
        <w:rPr>
          <w:b/>
          <w:sz w:val="33"/>
        </w:rPr>
      </w:pPr>
    </w:p>
    <w:p>
      <w:pPr>
        <w:pStyle w:val="BodyText"/>
        <w:spacing w:line="348" w:lineRule="auto"/>
        <w:ind w:left="390" w:right="4211"/>
      </w:pPr>
      <w:r>
        <w:rPr>
          <w:color w:val="231F20"/>
        </w:rPr>
        <w:t>Trees make an important contribution to the environment of Marrickville including the landscape image, biodiversity and habitat potential, as well as to the quality of the built environment and </w:t>
      </w:r>
      <w:r>
        <w:rPr>
          <w:color w:val="231F20"/>
          <w:spacing w:val="1"/>
        </w:rPr>
        <w:t>the     </w:t>
      </w:r>
      <w:r>
        <w:rPr>
          <w:color w:val="231F20"/>
        </w:rPr>
        <w:t>life experienced by its residents and</w:t>
      </w:r>
      <w:r>
        <w:rPr>
          <w:color w:val="231F20"/>
          <w:spacing w:val="7"/>
        </w:rPr>
        <w:t> </w:t>
      </w:r>
      <w:r>
        <w:rPr>
          <w:color w:val="231F20"/>
        </w:rPr>
        <w:t>visitors.</w:t>
      </w:r>
    </w:p>
    <w:p>
      <w:pPr>
        <w:pStyle w:val="BodyText"/>
        <w:spacing w:before="7"/>
        <w:rPr>
          <w:sz w:val="17"/>
        </w:rPr>
      </w:pPr>
    </w:p>
    <w:p>
      <w:pPr>
        <w:spacing w:after="0"/>
        <w:rPr>
          <w:sz w:val="17"/>
        </w:rPr>
        <w:sectPr>
          <w:type w:val="continuous"/>
          <w:pgSz w:w="11910" w:h="16840"/>
          <w:pgMar w:top="1360" w:bottom="280" w:left="460" w:right="440"/>
        </w:sectPr>
      </w:pPr>
    </w:p>
    <w:p>
      <w:pPr>
        <w:pStyle w:val="BodyText"/>
        <w:spacing w:line="348" w:lineRule="auto" w:before="100"/>
        <w:ind w:left="390" w:right="282"/>
      </w:pPr>
      <w:r>
        <w:rPr>
          <w:color w:val="231F20"/>
        </w:rPr>
        <w:t>The following outline shows that over time the tree asset within Marrickville has changed significantly in both quantity and type.</w:t>
      </w:r>
    </w:p>
    <w:p>
      <w:pPr>
        <w:pStyle w:val="BodyText"/>
        <w:spacing w:before="3"/>
        <w:rPr>
          <w:sz w:val="21"/>
        </w:rPr>
      </w:pPr>
    </w:p>
    <w:p>
      <w:pPr>
        <w:pStyle w:val="Heading2"/>
        <w:spacing w:before="1"/>
      </w:pPr>
      <w:r>
        <w:rPr>
          <w:color w:val="231F20"/>
        </w:rPr>
        <w:t>18th and 19th Century</w:t>
      </w:r>
    </w:p>
    <w:p>
      <w:pPr>
        <w:pStyle w:val="BodyText"/>
        <w:spacing w:before="2"/>
        <w:rPr>
          <w:b/>
          <w:sz w:val="33"/>
        </w:rPr>
      </w:pPr>
    </w:p>
    <w:p>
      <w:pPr>
        <w:pStyle w:val="BodyText"/>
        <w:spacing w:line="348" w:lineRule="auto"/>
        <w:ind w:left="390" w:right="282"/>
      </w:pPr>
      <w:r>
        <w:rPr>
          <w:color w:val="231F20"/>
        </w:rPr>
        <w:t>At first settlement the environment of  Marrickville  consisted  of  natural  forest  associations  of the</w:t>
      </w:r>
      <w:r>
        <w:rPr>
          <w:color w:val="231F20"/>
          <w:spacing w:val="15"/>
        </w:rPr>
        <w:t> </w:t>
      </w:r>
      <w:r>
        <w:rPr>
          <w:color w:val="231F20"/>
        </w:rPr>
        <w:t>Cumberland</w:t>
      </w:r>
      <w:r>
        <w:rPr>
          <w:color w:val="231F20"/>
          <w:spacing w:val="15"/>
        </w:rPr>
        <w:t> </w:t>
      </w:r>
      <w:r>
        <w:rPr>
          <w:color w:val="231F20"/>
        </w:rPr>
        <w:t>Plain</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Cooks</w:t>
      </w:r>
      <w:r>
        <w:rPr>
          <w:color w:val="231F20"/>
          <w:spacing w:val="15"/>
        </w:rPr>
        <w:t> </w:t>
      </w:r>
      <w:r>
        <w:rPr>
          <w:color w:val="231F20"/>
        </w:rPr>
        <w:t>River</w:t>
      </w:r>
      <w:r>
        <w:rPr>
          <w:color w:val="231F20"/>
          <w:spacing w:val="15"/>
        </w:rPr>
        <w:t> </w:t>
      </w:r>
      <w:r>
        <w:rPr>
          <w:color w:val="231F20"/>
        </w:rPr>
        <w:t>Valley.</w:t>
      </w:r>
      <w:r>
        <w:rPr>
          <w:color w:val="231F20"/>
          <w:spacing w:val="15"/>
        </w:rPr>
        <w:t> </w:t>
      </w:r>
      <w:r>
        <w:rPr>
          <w:color w:val="231F20"/>
        </w:rPr>
        <w:t>By</w:t>
      </w:r>
      <w:r>
        <w:rPr>
          <w:color w:val="231F20"/>
          <w:spacing w:val="15"/>
        </w:rPr>
        <w:t> </w:t>
      </w:r>
      <w:r>
        <w:rPr>
          <w:color w:val="231F20"/>
        </w:rPr>
        <w:t>1830</w:t>
      </w:r>
      <w:r>
        <w:rPr>
          <w:color w:val="231F20"/>
          <w:spacing w:val="15"/>
        </w:rPr>
        <w:t> </w:t>
      </w:r>
      <w:r>
        <w:rPr>
          <w:color w:val="231F20"/>
        </w:rPr>
        <w:t>small</w:t>
      </w:r>
      <w:r>
        <w:rPr>
          <w:color w:val="231F20"/>
          <w:spacing w:val="15"/>
        </w:rPr>
        <w:t> </w:t>
      </w:r>
      <w:r>
        <w:rPr>
          <w:color w:val="231F20"/>
        </w:rPr>
        <w:t>areas</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cleared</w:t>
      </w:r>
      <w:r>
        <w:rPr>
          <w:color w:val="231F20"/>
          <w:spacing w:val="15"/>
        </w:rPr>
        <w:t> </w:t>
      </w:r>
      <w:r>
        <w:rPr>
          <w:color w:val="231F20"/>
          <w:spacing w:val="1"/>
        </w:rPr>
        <w:t>and</w:t>
      </w:r>
    </w:p>
    <w:p>
      <w:pPr>
        <w:pStyle w:val="BodyText"/>
        <w:spacing w:line="348" w:lineRule="auto" w:before="1"/>
        <w:ind w:left="390" w:right="38"/>
      </w:pPr>
      <w:r>
        <w:rPr>
          <w:color w:val="231F20"/>
        </w:rPr>
        <w:t>cultivated. Between 1830 and 1860 small villages and villa estates developed and by the 1880’s substantial suburbs had developed in association with improved transportation connections (road   and rail). These subdivisions changed the character of Marrickville from villages surrounded by semi-rural</w:t>
      </w:r>
      <w:r>
        <w:rPr>
          <w:color w:val="231F20"/>
          <w:spacing w:val="7"/>
        </w:rPr>
        <w:t> </w:t>
      </w:r>
      <w:r>
        <w:rPr>
          <w:color w:val="231F20"/>
        </w:rPr>
        <w:t>areas</w:t>
      </w:r>
      <w:r>
        <w:rPr>
          <w:color w:val="231F20"/>
          <w:spacing w:val="7"/>
        </w:rPr>
        <w:t> </w:t>
      </w:r>
      <w:r>
        <w:rPr>
          <w:color w:val="231F20"/>
        </w:rPr>
        <w:t>to</w:t>
      </w:r>
      <w:r>
        <w:rPr>
          <w:color w:val="231F20"/>
          <w:spacing w:val="7"/>
        </w:rPr>
        <w:t> </w:t>
      </w:r>
      <w:r>
        <w:rPr>
          <w:color w:val="231F20"/>
        </w:rPr>
        <w:t>a</w:t>
      </w:r>
      <w:r>
        <w:rPr>
          <w:color w:val="231F20"/>
          <w:spacing w:val="7"/>
        </w:rPr>
        <w:t> </w:t>
      </w:r>
      <w:r>
        <w:rPr>
          <w:color w:val="231F20"/>
        </w:rPr>
        <w:t>large</w:t>
      </w:r>
      <w:r>
        <w:rPr>
          <w:color w:val="231F20"/>
          <w:spacing w:val="7"/>
        </w:rPr>
        <w:t> </w:t>
      </w:r>
      <w:r>
        <w:rPr>
          <w:color w:val="231F20"/>
        </w:rPr>
        <w:t>continuous</w:t>
      </w:r>
      <w:r>
        <w:rPr>
          <w:color w:val="231F20"/>
          <w:spacing w:val="7"/>
        </w:rPr>
        <w:t> </w:t>
      </w:r>
      <w:r>
        <w:rPr>
          <w:color w:val="231F20"/>
        </w:rPr>
        <w:t>urban</w:t>
      </w:r>
      <w:r>
        <w:rPr>
          <w:color w:val="231F20"/>
          <w:spacing w:val="7"/>
        </w:rPr>
        <w:t> </w:t>
      </w:r>
      <w:r>
        <w:rPr>
          <w:color w:val="231F20"/>
        </w:rPr>
        <w:t>area.</w:t>
      </w:r>
    </w:p>
    <w:p>
      <w:pPr>
        <w:pStyle w:val="BodyText"/>
        <w:spacing w:before="3"/>
        <w:rPr>
          <w:sz w:val="26"/>
        </w:rPr>
      </w:pPr>
    </w:p>
    <w:p>
      <w:pPr>
        <w:pStyle w:val="BodyText"/>
        <w:spacing w:line="348" w:lineRule="auto"/>
        <w:ind w:left="390" w:right="282"/>
      </w:pPr>
      <w:r>
        <w:rPr>
          <w:color w:val="231F20"/>
        </w:rPr>
        <w:t>Land clearing and industrialisation substantially removed remnant natural vegetation and altered    soil profiles. Consequently, the Marrickville Tree Strategy 2010 deals only with  amenity  trees planted</w:t>
      </w:r>
      <w:r>
        <w:rPr>
          <w:color w:val="231F20"/>
          <w:spacing w:val="7"/>
        </w:rPr>
        <w:t> </w:t>
      </w:r>
      <w:r>
        <w:rPr>
          <w:color w:val="231F20"/>
        </w:rPr>
        <w:t>from</w:t>
      </w:r>
      <w:r>
        <w:rPr>
          <w:color w:val="231F20"/>
          <w:spacing w:val="7"/>
        </w:rPr>
        <w:t> </w:t>
      </w:r>
      <w:r>
        <w:rPr>
          <w:color w:val="231F20"/>
        </w:rPr>
        <w:t>this</w:t>
      </w:r>
      <w:r>
        <w:rPr>
          <w:color w:val="231F20"/>
          <w:spacing w:val="7"/>
        </w:rPr>
        <w:t> </w:t>
      </w:r>
      <w:r>
        <w:rPr>
          <w:color w:val="231F20"/>
        </w:rPr>
        <w:t>point</w:t>
      </w:r>
      <w:r>
        <w:rPr>
          <w:color w:val="231F20"/>
          <w:spacing w:val="7"/>
        </w:rPr>
        <w:t> </w:t>
      </w:r>
      <w:r>
        <w:rPr>
          <w:color w:val="231F20"/>
        </w:rPr>
        <w:t>in</w:t>
      </w:r>
      <w:r>
        <w:rPr>
          <w:color w:val="231F20"/>
          <w:spacing w:val="7"/>
        </w:rPr>
        <w:t> </w:t>
      </w:r>
      <w:r>
        <w:rPr>
          <w:color w:val="231F20"/>
        </w:rPr>
        <w:t>time</w:t>
      </w:r>
      <w:r>
        <w:rPr>
          <w:color w:val="231F20"/>
          <w:spacing w:val="7"/>
        </w:rPr>
        <w:t> </w:t>
      </w:r>
      <w:r>
        <w:rPr>
          <w:color w:val="231F20"/>
        </w:rPr>
        <w:t>to</w:t>
      </w:r>
      <w:r>
        <w:rPr>
          <w:color w:val="231F20"/>
          <w:spacing w:val="7"/>
        </w:rPr>
        <w:t> </w:t>
      </w:r>
      <w:r>
        <w:rPr>
          <w:color w:val="231F20"/>
        </w:rPr>
        <w:t>the</w:t>
      </w:r>
      <w:r>
        <w:rPr>
          <w:color w:val="231F20"/>
          <w:spacing w:val="7"/>
        </w:rPr>
        <w:t> </w:t>
      </w:r>
      <w:r>
        <w:rPr>
          <w:color w:val="231F20"/>
        </w:rPr>
        <w:t>present.</w:t>
      </w:r>
    </w:p>
    <w:p>
      <w:pPr>
        <w:pStyle w:val="BodyText"/>
        <w:spacing w:before="3"/>
        <w:rPr>
          <w:sz w:val="26"/>
        </w:rPr>
      </w:pPr>
    </w:p>
    <w:p>
      <w:pPr>
        <w:pStyle w:val="BodyText"/>
        <w:spacing w:line="348" w:lineRule="auto" w:before="1"/>
        <w:ind w:left="390" w:right="282"/>
      </w:pPr>
      <w:r>
        <w:rPr>
          <w:color w:val="231F20"/>
        </w:rPr>
        <w:t>A few parks were planted in the mid to late 19th Century in response to the expanse of subdivisions and industry, for example:</w:t>
      </w:r>
    </w:p>
    <w:tbl>
      <w:tblPr>
        <w:tblW w:w="0" w:type="auto"/>
        <w:jc w:val="left"/>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4"/>
        <w:gridCol w:w="734"/>
      </w:tblGrid>
      <w:tr>
        <w:trPr>
          <w:trHeight w:val="253" w:hRule="atLeast"/>
        </w:trPr>
        <w:tc>
          <w:tcPr>
            <w:tcW w:w="3054" w:type="dxa"/>
          </w:tcPr>
          <w:p>
            <w:pPr>
              <w:pStyle w:val="TableParagraph"/>
              <w:numPr>
                <w:ilvl w:val="0"/>
                <w:numId w:val="23"/>
              </w:numPr>
              <w:tabs>
                <w:tab w:pos="192" w:val="left" w:leader="none"/>
              </w:tabs>
              <w:spacing w:line="207" w:lineRule="exact" w:before="0" w:after="0"/>
              <w:ind w:left="191" w:right="0" w:hanging="141"/>
              <w:jc w:val="left"/>
              <w:rPr>
                <w:sz w:val="18"/>
              </w:rPr>
            </w:pPr>
            <w:r>
              <w:rPr>
                <w:color w:val="231F20"/>
                <w:sz w:val="18"/>
              </w:rPr>
              <w:t>Camperdown</w:t>
            </w:r>
            <w:r>
              <w:rPr>
                <w:color w:val="231F20"/>
                <w:spacing w:val="7"/>
                <w:sz w:val="18"/>
              </w:rPr>
              <w:t> </w:t>
            </w:r>
            <w:r>
              <w:rPr>
                <w:color w:val="231F20"/>
                <w:sz w:val="18"/>
              </w:rPr>
              <w:t>Park</w:t>
            </w:r>
          </w:p>
        </w:tc>
        <w:tc>
          <w:tcPr>
            <w:tcW w:w="734" w:type="dxa"/>
          </w:tcPr>
          <w:p>
            <w:pPr>
              <w:pStyle w:val="TableParagraph"/>
              <w:spacing w:line="206" w:lineRule="exact"/>
              <w:ind w:right="48"/>
              <w:jc w:val="right"/>
              <w:rPr>
                <w:sz w:val="18"/>
              </w:rPr>
            </w:pPr>
            <w:r>
              <w:rPr>
                <w:color w:val="231F20"/>
                <w:sz w:val="18"/>
              </w:rPr>
              <w:t>1882</w:t>
            </w:r>
          </w:p>
        </w:tc>
      </w:tr>
      <w:tr>
        <w:trPr>
          <w:trHeight w:val="299" w:hRule="atLeast"/>
        </w:trPr>
        <w:tc>
          <w:tcPr>
            <w:tcW w:w="3054" w:type="dxa"/>
          </w:tcPr>
          <w:p>
            <w:pPr>
              <w:pStyle w:val="TableParagraph"/>
              <w:numPr>
                <w:ilvl w:val="0"/>
                <w:numId w:val="24"/>
              </w:numPr>
              <w:tabs>
                <w:tab w:pos="192" w:val="left" w:leader="none"/>
              </w:tabs>
              <w:spacing w:line="240" w:lineRule="auto" w:before="46" w:after="0"/>
              <w:ind w:left="191" w:right="0" w:hanging="141"/>
              <w:jc w:val="left"/>
              <w:rPr>
                <w:sz w:val="18"/>
              </w:rPr>
            </w:pPr>
            <w:r>
              <w:rPr>
                <w:color w:val="231F20"/>
                <w:sz w:val="18"/>
              </w:rPr>
              <w:t>Petersham</w:t>
            </w:r>
            <w:r>
              <w:rPr>
                <w:color w:val="231F20"/>
                <w:spacing w:val="6"/>
                <w:sz w:val="18"/>
              </w:rPr>
              <w:t> </w:t>
            </w:r>
            <w:r>
              <w:rPr>
                <w:color w:val="231F20"/>
                <w:sz w:val="18"/>
              </w:rPr>
              <w:t>Park</w:t>
            </w:r>
          </w:p>
        </w:tc>
        <w:tc>
          <w:tcPr>
            <w:tcW w:w="734" w:type="dxa"/>
          </w:tcPr>
          <w:p>
            <w:pPr>
              <w:pStyle w:val="TableParagraph"/>
              <w:spacing w:before="46"/>
              <w:ind w:right="48"/>
              <w:jc w:val="right"/>
              <w:rPr>
                <w:sz w:val="18"/>
              </w:rPr>
            </w:pPr>
            <w:r>
              <w:rPr>
                <w:color w:val="231F20"/>
                <w:sz w:val="18"/>
              </w:rPr>
              <w:t>1887</w:t>
            </w:r>
          </w:p>
        </w:tc>
      </w:tr>
      <w:tr>
        <w:trPr>
          <w:trHeight w:val="253" w:hRule="atLeast"/>
        </w:trPr>
        <w:tc>
          <w:tcPr>
            <w:tcW w:w="3054" w:type="dxa"/>
          </w:tcPr>
          <w:p>
            <w:pPr>
              <w:pStyle w:val="TableParagraph"/>
              <w:numPr>
                <w:ilvl w:val="0"/>
                <w:numId w:val="25"/>
              </w:numPr>
              <w:tabs>
                <w:tab w:pos="192" w:val="left" w:leader="none"/>
              </w:tabs>
              <w:spacing w:line="187" w:lineRule="exact" w:before="46" w:after="0"/>
              <w:ind w:left="191" w:right="0" w:hanging="141"/>
              <w:jc w:val="left"/>
              <w:rPr>
                <w:sz w:val="18"/>
              </w:rPr>
            </w:pPr>
            <w:r>
              <w:rPr>
                <w:color w:val="231F20"/>
                <w:sz w:val="18"/>
              </w:rPr>
              <w:t>Marrickville Park (now Enmore</w:t>
            </w:r>
            <w:r>
              <w:rPr>
                <w:color w:val="231F20"/>
                <w:spacing w:val="15"/>
                <w:sz w:val="18"/>
              </w:rPr>
              <w:t> </w:t>
            </w:r>
            <w:r>
              <w:rPr>
                <w:color w:val="231F20"/>
                <w:sz w:val="18"/>
              </w:rPr>
              <w:t>Park)</w:t>
            </w:r>
          </w:p>
        </w:tc>
        <w:tc>
          <w:tcPr>
            <w:tcW w:w="734" w:type="dxa"/>
          </w:tcPr>
          <w:p>
            <w:pPr>
              <w:pStyle w:val="TableParagraph"/>
              <w:spacing w:line="187" w:lineRule="exact" w:before="46"/>
              <w:ind w:right="48"/>
              <w:jc w:val="right"/>
              <w:rPr>
                <w:sz w:val="18"/>
              </w:rPr>
            </w:pPr>
            <w:r>
              <w:rPr>
                <w:color w:val="231F20"/>
                <w:sz w:val="18"/>
              </w:rPr>
              <w:t>1886</w:t>
            </w:r>
          </w:p>
        </w:tc>
      </w:tr>
    </w:tbl>
    <w:p>
      <w:pPr>
        <w:pStyle w:val="BodyText"/>
        <w:rPr>
          <w:sz w:val="20"/>
        </w:rPr>
      </w:pPr>
    </w:p>
    <w:p>
      <w:pPr>
        <w:pStyle w:val="BodyText"/>
        <w:spacing w:line="348" w:lineRule="auto" w:before="163"/>
        <w:ind w:left="390" w:right="65"/>
        <w:jc w:val="both"/>
      </w:pPr>
      <w:r>
        <w:rPr>
          <w:color w:val="231F20"/>
        </w:rPr>
        <w:t>Although most estates were subdivided by this time, some associated vegetation has survived to today, for example the oldest living tree planted in Marrickville is Ficus macrophylla (Morton </w:t>
      </w:r>
      <w:r>
        <w:rPr>
          <w:color w:val="231F20"/>
          <w:spacing w:val="1"/>
        </w:rPr>
        <w:t>Bay    </w:t>
      </w:r>
      <w:r>
        <w:rPr>
          <w:color w:val="231F20"/>
        </w:rPr>
        <w:t>Fig)</w:t>
      </w:r>
      <w:r>
        <w:rPr>
          <w:color w:val="231F20"/>
          <w:spacing w:val="7"/>
        </w:rPr>
        <w:t> </w:t>
      </w:r>
      <w:r>
        <w:rPr>
          <w:color w:val="231F20"/>
        </w:rPr>
        <w:t>planted</w:t>
      </w:r>
      <w:r>
        <w:rPr>
          <w:color w:val="231F20"/>
          <w:spacing w:val="7"/>
        </w:rPr>
        <w:t> </w:t>
      </w:r>
      <w:r>
        <w:rPr>
          <w:color w:val="231F20"/>
        </w:rPr>
        <w:t>in</w:t>
      </w:r>
      <w:r>
        <w:rPr>
          <w:color w:val="231F20"/>
          <w:spacing w:val="7"/>
        </w:rPr>
        <w:t> </w:t>
      </w:r>
      <w:r>
        <w:rPr>
          <w:color w:val="231F20"/>
        </w:rPr>
        <w:t>1856</w:t>
      </w:r>
      <w:r>
        <w:rPr>
          <w:color w:val="231F20"/>
          <w:spacing w:val="7"/>
        </w:rPr>
        <w:t> </w:t>
      </w:r>
      <w:r>
        <w:rPr>
          <w:color w:val="231F20"/>
        </w:rPr>
        <w:t>at</w:t>
      </w:r>
      <w:r>
        <w:rPr>
          <w:color w:val="231F20"/>
          <w:spacing w:val="7"/>
        </w:rPr>
        <w:t> </w:t>
      </w:r>
      <w:r>
        <w:rPr>
          <w:color w:val="231F20"/>
        </w:rPr>
        <w:t>St</w:t>
      </w:r>
      <w:r>
        <w:rPr>
          <w:color w:val="231F20"/>
          <w:spacing w:val="7"/>
        </w:rPr>
        <w:t> </w:t>
      </w:r>
      <w:r>
        <w:rPr>
          <w:color w:val="231F20"/>
        </w:rPr>
        <w:t>Stephen’s</w:t>
      </w:r>
      <w:r>
        <w:rPr>
          <w:color w:val="231F20"/>
          <w:spacing w:val="7"/>
        </w:rPr>
        <w:t> </w:t>
      </w:r>
      <w:r>
        <w:rPr>
          <w:color w:val="231F20"/>
        </w:rPr>
        <w:t>Cemetery,</w:t>
      </w:r>
      <w:r>
        <w:rPr>
          <w:color w:val="231F20"/>
          <w:spacing w:val="7"/>
        </w:rPr>
        <w:t> </w:t>
      </w:r>
      <w:r>
        <w:rPr>
          <w:color w:val="231F20"/>
        </w:rPr>
        <w:t>Newtown1.</w:t>
      </w:r>
    </w:p>
    <w:p>
      <w:pPr>
        <w:pStyle w:val="BodyText"/>
        <w:rPr>
          <w:sz w:val="16"/>
        </w:rPr>
      </w:pPr>
      <w:r>
        <w:rPr/>
        <w:br w:type="column"/>
      </w:r>
      <w:r>
        <w:rPr>
          <w:sz w:val="16"/>
        </w:rPr>
      </w:r>
    </w:p>
    <w:p>
      <w:pPr>
        <w:pStyle w:val="BodyText"/>
        <w:rPr>
          <w:sz w:val="16"/>
        </w:rPr>
      </w:pPr>
    </w:p>
    <w:p>
      <w:pPr>
        <w:pStyle w:val="BodyText"/>
        <w:spacing w:before="10"/>
        <w:rPr>
          <w:sz w:val="19"/>
        </w:rPr>
      </w:pPr>
    </w:p>
    <w:p>
      <w:pPr>
        <w:spacing w:line="268" w:lineRule="auto" w:before="1"/>
        <w:ind w:left="390" w:right="200" w:firstLine="0"/>
        <w:jc w:val="left"/>
        <w:rPr>
          <w:i/>
          <w:sz w:val="14"/>
        </w:rPr>
      </w:pPr>
      <w:r>
        <w:rPr>
          <w:b/>
          <w:i/>
          <w:color w:val="231F20"/>
          <w:sz w:val="14"/>
        </w:rPr>
        <w:t>Figure 8. </w:t>
      </w:r>
      <w:r>
        <w:rPr>
          <w:i/>
          <w:color w:val="231F20"/>
          <w:sz w:val="14"/>
        </w:rPr>
        <w:t>Ficus macrophylla - the oldest living tree in </w:t>
      </w:r>
      <w:r>
        <w:rPr>
          <w:i/>
          <w:color w:val="231F20"/>
          <w:sz w:val="14"/>
        </w:rPr>
        <w:t>Marrickville (1856) at St Stephen’s Cemetery Newtown. (photographer unknown)</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spacing w:before="122"/>
        <w:ind w:left="390" w:right="414" w:firstLine="0"/>
        <w:jc w:val="left"/>
        <w:rPr>
          <w:i/>
          <w:sz w:val="14"/>
        </w:rPr>
      </w:pPr>
      <w:r>
        <w:rPr>
          <w:b/>
          <w:i/>
          <w:color w:val="231F20"/>
          <w:sz w:val="14"/>
        </w:rPr>
        <w:t>Figure 9. </w:t>
      </w:r>
      <w:r>
        <w:rPr>
          <w:i/>
          <w:color w:val="231F20"/>
          <w:sz w:val="14"/>
        </w:rPr>
        <w:t>Enmore Park, Enmore, c. 1936  </w:t>
      </w:r>
      <w:r>
        <w:rPr>
          <w:i/>
          <w:color w:val="231F20"/>
          <w:sz w:val="14"/>
        </w:rPr>
        <w:t>(Photographer</w:t>
      </w:r>
      <w:r>
        <w:rPr>
          <w:i/>
          <w:color w:val="231F20"/>
          <w:spacing w:val="17"/>
          <w:sz w:val="14"/>
        </w:rPr>
        <w:t> </w:t>
      </w:r>
      <w:r>
        <w:rPr>
          <w:i/>
          <w:color w:val="231F20"/>
          <w:sz w:val="14"/>
        </w:rPr>
        <w:t>Unknown,</w:t>
      </w:r>
      <w:r>
        <w:rPr>
          <w:i/>
          <w:color w:val="231F20"/>
          <w:spacing w:val="17"/>
          <w:sz w:val="14"/>
        </w:rPr>
        <w:t> </w:t>
      </w:r>
      <w:r>
        <w:rPr>
          <w:i/>
          <w:color w:val="231F20"/>
          <w:sz w:val="14"/>
        </w:rPr>
        <w:t>c.</w:t>
      </w:r>
      <w:r>
        <w:rPr>
          <w:i/>
          <w:color w:val="231F20"/>
          <w:spacing w:val="17"/>
          <w:sz w:val="14"/>
        </w:rPr>
        <w:t> </w:t>
      </w:r>
      <w:r>
        <w:rPr>
          <w:i/>
          <w:color w:val="231F20"/>
          <w:sz w:val="14"/>
        </w:rPr>
        <w:t>1936,</w:t>
      </w:r>
      <w:r>
        <w:rPr>
          <w:i/>
          <w:color w:val="231F20"/>
          <w:spacing w:val="17"/>
          <w:sz w:val="14"/>
        </w:rPr>
        <w:t> </w:t>
      </w:r>
      <w:r>
        <w:rPr>
          <w:i/>
          <w:color w:val="231F20"/>
          <w:sz w:val="14"/>
        </w:rPr>
        <w:t>Marrickville</w:t>
      </w:r>
      <w:r>
        <w:rPr>
          <w:i/>
          <w:color w:val="231F20"/>
          <w:spacing w:val="17"/>
          <w:sz w:val="14"/>
        </w:rPr>
        <w:t> </w:t>
      </w:r>
      <w:r>
        <w:rPr>
          <w:i/>
          <w:color w:val="231F20"/>
          <w:sz w:val="14"/>
        </w:rPr>
        <w:t>Library</w:t>
      </w:r>
    </w:p>
    <w:p>
      <w:pPr>
        <w:spacing w:line="159" w:lineRule="exact" w:before="0"/>
        <w:ind w:left="390" w:right="0" w:firstLine="0"/>
        <w:jc w:val="left"/>
        <w:rPr>
          <w:i/>
          <w:sz w:val="14"/>
        </w:rPr>
      </w:pPr>
      <w:r>
        <w:rPr>
          <w:i/>
          <w:color w:val="231F20"/>
          <w:sz w:val="14"/>
        </w:rPr>
        <w:t>Services — Local Studies Images Database 000/000574)</w:t>
      </w:r>
    </w:p>
    <w:p>
      <w:pPr>
        <w:spacing w:after="0" w:line="159" w:lineRule="exact"/>
        <w:jc w:val="left"/>
        <w:rPr>
          <w:sz w:val="14"/>
        </w:rPr>
        <w:sectPr>
          <w:type w:val="continuous"/>
          <w:pgSz w:w="11910" w:h="16840"/>
          <w:pgMar w:top="1360" w:bottom="280" w:left="460" w:right="440"/>
          <w:cols w:num="2" w:equalWidth="0">
            <w:col w:w="7097" w:space="273"/>
            <w:col w:w="3640"/>
          </w:cols>
        </w:sectPr>
      </w:pPr>
    </w:p>
    <w:p>
      <w:pPr>
        <w:pStyle w:val="BodyText"/>
        <w:rPr>
          <w:i/>
          <w:sz w:val="20"/>
        </w:rPr>
      </w:pPr>
      <w:r>
        <w:rPr/>
        <w:pict>
          <v:group style="position:absolute;margin-left:42.5201pt;margin-top:28.919714pt;width:524.450pt;height:771.55pt;mso-position-horizontal-relative:page;mso-position-vertical-relative:page;z-index:-94624"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v:shape style="position:absolute;left:8220;top:6108;width:3119;height:2400" type="#_x0000_t75" stroked="false">
              <v:imagedata r:id="rId21" o:title=""/>
            </v:shape>
            <v:shape style="position:absolute;left:8220;top:9997;width:3119;height:2423" type="#_x0000_t75" stroked="false">
              <v:imagedata r:id="rId22" o:title=""/>
            </v:shape>
            <v:shape style="position:absolute;left:8220;top:2508;width:3119;height:2400" type="#_x0000_t75" stroked="false">
              <v:imagedata r:id="rId23" o:title=""/>
            </v:shape>
            <w10:wrap type="none"/>
          </v:group>
        </w:pict>
      </w:r>
    </w:p>
    <w:p>
      <w:pPr>
        <w:pStyle w:val="BodyText"/>
        <w:spacing w:before="8"/>
        <w:rPr>
          <w:i/>
          <w:sz w:val="15"/>
        </w:rPr>
      </w:pPr>
    </w:p>
    <w:p>
      <w:pPr>
        <w:spacing w:before="100"/>
        <w:ind w:left="0" w:right="1442" w:firstLine="0"/>
        <w:jc w:val="right"/>
        <w:rPr>
          <w:i/>
          <w:sz w:val="14"/>
        </w:rPr>
      </w:pPr>
      <w:r>
        <w:rPr>
          <w:b/>
          <w:i/>
          <w:color w:val="231F20"/>
          <w:sz w:val="14"/>
        </w:rPr>
        <w:t>Figure 10. </w:t>
      </w:r>
      <w:r>
        <w:rPr>
          <w:i/>
          <w:color w:val="231F20"/>
          <w:sz w:val="14"/>
        </w:rPr>
        <w:t>Enmore Park, Enmore</w:t>
      </w:r>
    </w:p>
    <w:p>
      <w:pPr>
        <w:spacing w:after="0"/>
        <w:jc w:val="right"/>
        <w:rPr>
          <w:sz w:val="14"/>
        </w:rPr>
        <w:sectPr>
          <w:type w:val="continuous"/>
          <w:pgSz w:w="11910" w:h="16840"/>
          <w:pgMar w:top="1360" w:bottom="280" w:left="460" w:right="440"/>
        </w:sectPr>
      </w:pPr>
    </w:p>
    <w:p>
      <w:pPr>
        <w:tabs>
          <w:tab w:pos="1347" w:val="left" w:leader="none"/>
        </w:tabs>
        <w:spacing w:line="631" w:lineRule="exact" w:before="126"/>
        <w:ind w:left="610" w:right="0" w:firstLine="0"/>
        <w:jc w:val="left"/>
        <w:rPr>
          <w:i/>
          <w:sz w:val="24"/>
        </w:rPr>
      </w:pPr>
      <w:r>
        <w:rPr/>
        <w:pict>
          <v:shape style="position:absolute;margin-left:34.015701pt;margin-top:3.630104pt;width:19.5pt;height:55.1pt;mso-position-horizontal-relative:page;mso-position-vertical-relative:paragraph;z-index:2392"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b/>
          <w:color w:val="808285"/>
          <w:position w:val="2"/>
          <w:sz w:val="56"/>
        </w:rPr>
        <w:t>a</w:t>
        <w:tab/>
      </w:r>
      <w:r>
        <w:rPr>
          <w:i/>
          <w:color w:val="231F20"/>
          <w:spacing w:val="6"/>
          <w:sz w:val="24"/>
        </w:rPr>
        <w:t>Marrickville</w:t>
      </w:r>
      <w:r>
        <w:rPr>
          <w:i/>
          <w:color w:val="231F20"/>
          <w:spacing w:val="40"/>
          <w:sz w:val="24"/>
        </w:rPr>
        <w:t> </w:t>
      </w:r>
      <w:r>
        <w:rPr>
          <w:i/>
          <w:color w:val="231F20"/>
          <w:spacing w:val="7"/>
          <w:sz w:val="24"/>
        </w:rPr>
        <w:t>Council</w:t>
      </w:r>
    </w:p>
    <w:p>
      <w:pPr>
        <w:spacing w:line="264" w:lineRule="exact" w:before="0"/>
        <w:ind w:left="966" w:right="0" w:firstLine="0"/>
        <w:jc w:val="lef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3791" w:right="0" w:firstLine="0"/>
        <w:jc w:val="left"/>
        <w:rPr>
          <w:b/>
          <w:sz w:val="24"/>
        </w:rPr>
      </w:pPr>
      <w:r>
        <w:rPr>
          <w:b/>
          <w:color w:val="231F20"/>
          <w:sz w:val="24"/>
        </w:rPr>
        <w:t>Early - Mid 20th Century</w:t>
      </w:r>
    </w:p>
    <w:p>
      <w:pPr>
        <w:pStyle w:val="BodyText"/>
        <w:spacing w:before="2"/>
        <w:rPr>
          <w:b/>
          <w:sz w:val="33"/>
        </w:rPr>
      </w:pPr>
    </w:p>
    <w:p>
      <w:pPr>
        <w:pStyle w:val="BodyText"/>
        <w:spacing w:line="348" w:lineRule="auto"/>
        <w:ind w:left="3791" w:right="546"/>
      </w:pPr>
      <w:r>
        <w:rPr>
          <w:color w:val="231F20"/>
        </w:rPr>
        <w:t>By the 1920’s and 1930’s Marrickville was heavily urbanised. Street tree planting at this time </w:t>
      </w:r>
      <w:r>
        <w:rPr>
          <w:color w:val="231F20"/>
          <w:spacing w:val="1"/>
        </w:rPr>
        <w:t>was </w:t>
      </w:r>
      <w:r>
        <w:rPr>
          <w:color w:val="231F20"/>
        </w:rPr>
        <w:t>limited to localised areas and commonly undertaken as depression labour work programs </w:t>
      </w:r>
      <w:r>
        <w:rPr>
          <w:color w:val="231F20"/>
          <w:spacing w:val="1"/>
        </w:rPr>
        <w:t>(refer </w:t>
      </w:r>
      <w:r>
        <w:rPr>
          <w:color w:val="231F20"/>
        </w:rPr>
        <w:t>Figure 9: Canonbury Grove, Dulwich Hill, c. 1936). In addition, in response to requests  from residents, many of Council’s parks and reserves were created at this time, often reclaimed from post-industrial</w:t>
      </w:r>
      <w:r>
        <w:rPr>
          <w:color w:val="231F20"/>
          <w:spacing w:val="6"/>
        </w:rPr>
        <w:t> </w:t>
      </w:r>
      <w:r>
        <w:rPr>
          <w:color w:val="231F20"/>
        </w:rPr>
        <w:t>wasteland.</w:t>
      </w:r>
    </w:p>
    <w:p>
      <w:pPr>
        <w:spacing w:after="0" w:line="348" w:lineRule="auto"/>
        <w:sectPr>
          <w:pgSz w:w="11910" w:h="16840"/>
          <w:pgMar w:header="0" w:footer="779" w:top="920" w:bottom="960" w:left="460" w:right="440"/>
        </w:sectPr>
      </w:pPr>
    </w:p>
    <w:p>
      <w:pPr>
        <w:pStyle w:val="BodyText"/>
        <w:spacing w:before="3"/>
        <w:rPr>
          <w:sz w:val="17"/>
        </w:rPr>
      </w:pPr>
      <w:r>
        <w:rPr/>
        <w:pict>
          <v:group style="position:absolute;margin-left:22.676901pt;margin-top:28.346714pt;width:530.1pt;height:772.1pt;mso-position-horizontal-relative:page;mso-position-vertical-relative:page;z-index:-94576"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v:shape style="position:absolute;left:566;top:9101;width:3119;height:1800" type="#_x0000_t75" stroked="false">
              <v:imagedata r:id="rId24" o:title=""/>
            </v:shape>
            <v:shape style="position:absolute;left:566;top:2508;width:3119;height:2400" type="#_x0000_t75" stroked="false">
              <v:imagedata r:id="rId25" o:title=""/>
            </v:shape>
            <v:shape style="position:absolute;left:566;top:6120;width:3119;height:2100" type="#_x0000_t75" stroked="false">
              <v:imagedata r:id="rId26" o:title=""/>
            </v:shape>
            <v:shape style="position:absolute;left:566;top:12108;width:3119;height:2100" type="#_x0000_t75" stroked="false">
              <v:imagedata r:id="rId27" o:title=""/>
            </v:shape>
            <w10:wrap type="none"/>
          </v:group>
        </w:pict>
      </w:r>
    </w:p>
    <w:p>
      <w:pPr>
        <w:spacing w:line="268" w:lineRule="auto" w:before="0"/>
        <w:ind w:left="106" w:right="52" w:firstLine="0"/>
        <w:jc w:val="left"/>
        <w:rPr>
          <w:i/>
          <w:sz w:val="14"/>
        </w:rPr>
      </w:pPr>
      <w:r>
        <w:rPr>
          <w:b/>
          <w:i/>
          <w:color w:val="231F20"/>
          <w:sz w:val="14"/>
        </w:rPr>
        <w:t>Figure 11. </w:t>
      </w:r>
      <w:r>
        <w:rPr>
          <w:i/>
          <w:color w:val="231F20"/>
          <w:sz w:val="14"/>
        </w:rPr>
        <w:t>Henson Park , Marrickville, c. 1936 </w:t>
      </w:r>
      <w:r>
        <w:rPr>
          <w:i/>
          <w:color w:val="231F20"/>
          <w:sz w:val="14"/>
        </w:rPr>
        <w:t>(Photographer Unknown, c. 1936, Marrickville Library Services — Local Studies Images Database 000/000858)</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3"/>
        <w:rPr>
          <w:i/>
          <w:sz w:val="17"/>
        </w:rPr>
      </w:pPr>
    </w:p>
    <w:p>
      <w:pPr>
        <w:spacing w:before="1"/>
        <w:ind w:left="106" w:right="0" w:firstLine="0"/>
        <w:jc w:val="left"/>
        <w:rPr>
          <w:i/>
          <w:sz w:val="14"/>
        </w:rPr>
      </w:pPr>
      <w:r>
        <w:rPr>
          <w:b/>
          <w:i/>
          <w:color w:val="231F20"/>
          <w:sz w:val="14"/>
        </w:rPr>
        <w:t>Figure 12. </w:t>
      </w:r>
      <w:r>
        <w:rPr>
          <w:i/>
          <w:color w:val="231F20"/>
          <w:sz w:val="14"/>
        </w:rPr>
        <w:t>Henson Park , Marrickville</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0"/>
        <w:rPr>
          <w:i/>
          <w:sz w:val="12"/>
        </w:rPr>
      </w:pPr>
    </w:p>
    <w:p>
      <w:pPr>
        <w:spacing w:line="268" w:lineRule="auto" w:before="0"/>
        <w:ind w:left="106" w:right="52" w:firstLine="0"/>
        <w:jc w:val="left"/>
        <w:rPr>
          <w:i/>
          <w:sz w:val="14"/>
        </w:rPr>
      </w:pPr>
      <w:r>
        <w:rPr>
          <w:b/>
          <w:i/>
          <w:color w:val="231F20"/>
          <w:sz w:val="14"/>
        </w:rPr>
        <w:t>Figure 13. </w:t>
      </w:r>
      <w:r>
        <w:rPr>
          <w:i/>
          <w:color w:val="231F20"/>
          <w:sz w:val="14"/>
        </w:rPr>
        <w:t>Canonbury Grove, Dulwich Hill, c. 1936 </w:t>
      </w:r>
      <w:r>
        <w:rPr>
          <w:i/>
          <w:color w:val="231F20"/>
          <w:sz w:val="14"/>
        </w:rPr>
        <w:t>(Photographer Unknown, c. 1936, Marrickville Library services — Local Studies Images Database 000/000251).</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2"/>
        <w:rPr>
          <w:i/>
          <w:sz w:val="17"/>
        </w:rPr>
      </w:pPr>
    </w:p>
    <w:p>
      <w:pPr>
        <w:spacing w:before="0"/>
        <w:ind w:left="106" w:right="0" w:firstLine="0"/>
        <w:jc w:val="left"/>
        <w:rPr>
          <w:i/>
          <w:sz w:val="14"/>
        </w:rPr>
      </w:pPr>
      <w:r>
        <w:rPr>
          <w:b/>
          <w:i/>
          <w:color w:val="231F20"/>
          <w:sz w:val="14"/>
        </w:rPr>
        <w:t>Figure 14. </w:t>
      </w:r>
      <w:r>
        <w:rPr>
          <w:i/>
          <w:color w:val="231F20"/>
          <w:sz w:val="14"/>
        </w:rPr>
        <w:t>Canonbury Grove, Dulwich Hill</w:t>
      </w:r>
    </w:p>
    <w:p>
      <w:pPr>
        <w:pStyle w:val="BodyText"/>
        <w:spacing w:before="4"/>
        <w:rPr>
          <w:i/>
          <w:sz w:val="26"/>
        </w:rPr>
      </w:pPr>
      <w:r>
        <w:rPr/>
        <w:br w:type="column"/>
      </w:r>
      <w:r>
        <w:rPr>
          <w:i/>
          <w:sz w:val="26"/>
        </w:rPr>
      </w:r>
    </w:p>
    <w:p>
      <w:pPr>
        <w:pStyle w:val="BodyText"/>
        <w:ind w:left="106"/>
      </w:pPr>
      <w:r>
        <w:rPr>
          <w:color w:val="231F20"/>
        </w:rPr>
        <w:t>The following major parks were created in the early 20th Century:</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Weekly</w:t>
      </w:r>
      <w:r>
        <w:rPr>
          <w:color w:val="231F20"/>
          <w:spacing w:val="26"/>
          <w:sz w:val="18"/>
        </w:rPr>
        <w:t> </w:t>
      </w:r>
      <w:r>
        <w:rPr>
          <w:color w:val="231F20"/>
          <w:sz w:val="18"/>
        </w:rPr>
        <w:t>Park</w:t>
        <w:tab/>
        <w:t>1905</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Marrickville </w:t>
      </w:r>
      <w:r>
        <w:rPr>
          <w:color w:val="231F20"/>
          <w:spacing w:val="0"/>
          <w:sz w:val="18"/>
        </w:rPr>
        <w:t> </w:t>
      </w:r>
      <w:r>
        <w:rPr>
          <w:color w:val="231F20"/>
          <w:sz w:val="18"/>
        </w:rPr>
        <w:t>Park</w:t>
        <w:tab/>
        <w:t>early</w:t>
      </w:r>
      <w:r>
        <w:rPr>
          <w:color w:val="231F20"/>
          <w:spacing w:val="7"/>
          <w:sz w:val="18"/>
        </w:rPr>
        <w:t> </w:t>
      </w:r>
      <w:r>
        <w:rPr>
          <w:color w:val="231F20"/>
          <w:sz w:val="18"/>
        </w:rPr>
        <w:t>1900’s</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Lewisham  Park  (now</w:t>
      </w:r>
      <w:r>
        <w:rPr>
          <w:color w:val="231F20"/>
          <w:spacing w:val="-13"/>
          <w:sz w:val="18"/>
        </w:rPr>
        <w:t> </w:t>
      </w:r>
      <w:r>
        <w:rPr>
          <w:color w:val="231F20"/>
          <w:sz w:val="18"/>
        </w:rPr>
        <w:t>Johnson</w:t>
      </w:r>
      <w:r>
        <w:rPr>
          <w:color w:val="231F20"/>
          <w:spacing w:val="22"/>
          <w:sz w:val="18"/>
        </w:rPr>
        <w:t> </w:t>
      </w:r>
      <w:r>
        <w:rPr>
          <w:color w:val="231F20"/>
          <w:sz w:val="18"/>
        </w:rPr>
        <w:t>Park)</w:t>
        <w:tab/>
        <w:t>1911</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Cooks</w:t>
      </w:r>
      <w:r>
        <w:rPr>
          <w:color w:val="231F20"/>
          <w:spacing w:val="22"/>
          <w:sz w:val="18"/>
        </w:rPr>
        <w:t> </w:t>
      </w:r>
      <w:r>
        <w:rPr>
          <w:color w:val="231F20"/>
          <w:sz w:val="18"/>
        </w:rPr>
        <w:t>River</w:t>
      </w:r>
      <w:r>
        <w:rPr>
          <w:color w:val="231F20"/>
          <w:spacing w:val="22"/>
          <w:sz w:val="18"/>
        </w:rPr>
        <w:t> </w:t>
      </w:r>
      <w:r>
        <w:rPr>
          <w:color w:val="231F20"/>
          <w:sz w:val="18"/>
        </w:rPr>
        <w:t>Parks</w:t>
        <w:tab/>
        <w:t>1912-1930</w:t>
      </w:r>
    </w:p>
    <w:p>
      <w:pPr>
        <w:pStyle w:val="BodyText"/>
        <w:spacing w:before="34"/>
        <w:ind w:left="588"/>
      </w:pPr>
      <w:r>
        <w:rPr>
          <w:color w:val="231F20"/>
        </w:rPr>
        <w:t>(now Kendrick, Steel, Mackey, The Warrren, and Richardson Parks)</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Maundrell</w:t>
      </w:r>
      <w:r>
        <w:rPr>
          <w:color w:val="231F20"/>
          <w:spacing w:val="35"/>
          <w:sz w:val="18"/>
        </w:rPr>
        <w:t> </w:t>
      </w:r>
      <w:r>
        <w:rPr>
          <w:color w:val="231F20"/>
          <w:sz w:val="18"/>
        </w:rPr>
        <w:t>Park</w:t>
        <w:tab/>
        <w:t>1926</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Arlington</w:t>
      </w:r>
      <w:r>
        <w:rPr>
          <w:color w:val="231F20"/>
          <w:spacing w:val="35"/>
          <w:sz w:val="18"/>
        </w:rPr>
        <w:t> </w:t>
      </w:r>
      <w:r>
        <w:rPr>
          <w:color w:val="231F20"/>
          <w:sz w:val="18"/>
        </w:rPr>
        <w:t>Oval</w:t>
        <w:tab/>
        <w:t>1930’s</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Henson</w:t>
      </w:r>
      <w:r>
        <w:rPr>
          <w:color w:val="231F20"/>
          <w:spacing w:val="27"/>
          <w:sz w:val="18"/>
        </w:rPr>
        <w:t> </w:t>
      </w:r>
      <w:r>
        <w:rPr>
          <w:color w:val="231F20"/>
          <w:sz w:val="18"/>
        </w:rPr>
        <w:t>Park</w:t>
        <w:tab/>
        <w:t>1930’s</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Camperdown  Memorial</w:t>
      </w:r>
      <w:r>
        <w:rPr>
          <w:color w:val="231F20"/>
          <w:spacing w:val="11"/>
          <w:sz w:val="18"/>
        </w:rPr>
        <w:t> </w:t>
      </w:r>
      <w:r>
        <w:rPr>
          <w:color w:val="231F20"/>
          <w:sz w:val="18"/>
        </w:rPr>
        <w:t>Rest</w:t>
      </w:r>
      <w:r>
        <w:rPr>
          <w:color w:val="231F20"/>
          <w:spacing w:val="25"/>
          <w:sz w:val="18"/>
        </w:rPr>
        <w:t> </w:t>
      </w:r>
      <w:r>
        <w:rPr>
          <w:color w:val="231F20"/>
          <w:sz w:val="18"/>
        </w:rPr>
        <w:t>Park</w:t>
        <w:tab/>
        <w:t>1950’s</w:t>
      </w:r>
    </w:p>
    <w:p>
      <w:pPr>
        <w:pStyle w:val="ListParagraph"/>
        <w:numPr>
          <w:ilvl w:val="0"/>
          <w:numId w:val="26"/>
        </w:numPr>
        <w:tabs>
          <w:tab w:pos="589" w:val="left" w:leader="none"/>
          <w:tab w:pos="5492" w:val="left" w:leader="none"/>
        </w:tabs>
        <w:spacing w:line="240" w:lineRule="auto" w:before="93" w:after="0"/>
        <w:ind w:left="588" w:right="0" w:hanging="141"/>
        <w:jc w:val="left"/>
        <w:rPr>
          <w:sz w:val="18"/>
        </w:rPr>
      </w:pPr>
      <w:r>
        <w:rPr>
          <w:color w:val="231F20"/>
          <w:sz w:val="18"/>
        </w:rPr>
        <w:t>Camdenville</w:t>
      </w:r>
      <w:r>
        <w:rPr>
          <w:color w:val="231F20"/>
          <w:spacing w:val="38"/>
          <w:sz w:val="18"/>
        </w:rPr>
        <w:t> </w:t>
      </w:r>
      <w:r>
        <w:rPr>
          <w:color w:val="231F20"/>
          <w:sz w:val="18"/>
        </w:rPr>
        <w:t>Park</w:t>
        <w:tab/>
        <w:t>1957</w:t>
      </w:r>
    </w:p>
    <w:p>
      <w:pPr>
        <w:pStyle w:val="BodyText"/>
        <w:rPr>
          <w:sz w:val="20"/>
        </w:rPr>
      </w:pPr>
    </w:p>
    <w:p>
      <w:pPr>
        <w:pStyle w:val="BodyText"/>
        <w:spacing w:before="5"/>
        <w:rPr>
          <w:sz w:val="19"/>
        </w:rPr>
      </w:pPr>
    </w:p>
    <w:p>
      <w:pPr>
        <w:pStyle w:val="BodyText"/>
        <w:spacing w:line="348" w:lineRule="auto" w:before="1"/>
        <w:ind w:left="106" w:right="674"/>
        <w:jc w:val="center"/>
      </w:pPr>
      <w:r>
        <w:rPr>
          <w:color w:val="231F20"/>
        </w:rPr>
        <w:t>Remnant plantings of the early to mid twentieth century have created a number of fine avenues   and</w:t>
      </w:r>
      <w:r>
        <w:rPr>
          <w:color w:val="231F20"/>
          <w:spacing w:val="18"/>
        </w:rPr>
        <w:t> </w:t>
      </w:r>
      <w:r>
        <w:rPr>
          <w:color w:val="231F20"/>
        </w:rPr>
        <w:t>parks</w:t>
      </w:r>
      <w:r>
        <w:rPr>
          <w:color w:val="231F20"/>
          <w:spacing w:val="18"/>
        </w:rPr>
        <w:t> </w:t>
      </w:r>
      <w:r>
        <w:rPr>
          <w:color w:val="231F20"/>
        </w:rPr>
        <w:t>with</w:t>
      </w:r>
      <w:r>
        <w:rPr>
          <w:color w:val="231F20"/>
          <w:spacing w:val="18"/>
        </w:rPr>
        <w:t> </w:t>
      </w:r>
      <w:r>
        <w:rPr>
          <w:color w:val="231F20"/>
        </w:rPr>
        <w:t>grand</w:t>
      </w:r>
      <w:r>
        <w:rPr>
          <w:color w:val="231F20"/>
          <w:spacing w:val="18"/>
        </w:rPr>
        <w:t> </w:t>
      </w:r>
      <w:r>
        <w:rPr>
          <w:color w:val="231F20"/>
        </w:rPr>
        <w:t>trees</w:t>
      </w:r>
      <w:r>
        <w:rPr>
          <w:color w:val="231F20"/>
          <w:spacing w:val="18"/>
        </w:rPr>
        <w:t> </w:t>
      </w:r>
      <w:r>
        <w:rPr>
          <w:color w:val="231F20"/>
        </w:rPr>
        <w:t>that</w:t>
      </w:r>
      <w:r>
        <w:rPr>
          <w:color w:val="231F20"/>
          <w:spacing w:val="18"/>
        </w:rPr>
        <w:t> </w:t>
      </w:r>
      <w:r>
        <w:rPr>
          <w:color w:val="231F20"/>
        </w:rPr>
        <w:t>are</w:t>
      </w:r>
      <w:r>
        <w:rPr>
          <w:color w:val="231F20"/>
          <w:spacing w:val="18"/>
        </w:rPr>
        <w:t> </w:t>
      </w:r>
      <w:r>
        <w:rPr>
          <w:color w:val="231F20"/>
        </w:rPr>
        <w:t>local</w:t>
      </w:r>
      <w:r>
        <w:rPr>
          <w:color w:val="231F20"/>
          <w:spacing w:val="18"/>
        </w:rPr>
        <w:t> </w:t>
      </w:r>
      <w:r>
        <w:rPr>
          <w:color w:val="231F20"/>
        </w:rPr>
        <w:t>icons.</w:t>
      </w:r>
      <w:r>
        <w:rPr>
          <w:color w:val="231F20"/>
          <w:spacing w:val="18"/>
        </w:rPr>
        <w:t> </w:t>
      </w:r>
      <w:r>
        <w:rPr>
          <w:color w:val="231F20"/>
        </w:rPr>
        <w:t>Species</w:t>
      </w:r>
      <w:r>
        <w:rPr>
          <w:color w:val="231F20"/>
          <w:spacing w:val="18"/>
        </w:rPr>
        <w:t> </w:t>
      </w:r>
      <w:r>
        <w:rPr>
          <w:color w:val="231F20"/>
        </w:rPr>
        <w:t>commonly</w:t>
      </w:r>
      <w:r>
        <w:rPr>
          <w:color w:val="231F20"/>
          <w:spacing w:val="18"/>
        </w:rPr>
        <w:t> </w:t>
      </w:r>
      <w:r>
        <w:rPr>
          <w:color w:val="231F20"/>
        </w:rPr>
        <w:t>planted</w:t>
      </w:r>
      <w:r>
        <w:rPr>
          <w:color w:val="231F20"/>
          <w:spacing w:val="18"/>
        </w:rPr>
        <w:t> </w:t>
      </w:r>
      <w:r>
        <w:rPr>
          <w:color w:val="231F20"/>
        </w:rPr>
        <w:t>at</w:t>
      </w:r>
      <w:r>
        <w:rPr>
          <w:color w:val="231F20"/>
          <w:spacing w:val="18"/>
        </w:rPr>
        <w:t> </w:t>
      </w:r>
      <w:r>
        <w:rPr>
          <w:color w:val="231F20"/>
        </w:rPr>
        <w:t>that</w:t>
      </w:r>
      <w:r>
        <w:rPr>
          <w:color w:val="231F20"/>
          <w:spacing w:val="18"/>
        </w:rPr>
        <w:t> </w:t>
      </w:r>
      <w:r>
        <w:rPr>
          <w:color w:val="231F20"/>
        </w:rPr>
        <w:t>time</w:t>
      </w:r>
      <w:r>
        <w:rPr>
          <w:color w:val="231F20"/>
          <w:spacing w:val="18"/>
        </w:rPr>
        <w:t> </w:t>
      </w:r>
      <w:r>
        <w:rPr>
          <w:color w:val="231F20"/>
        </w:rPr>
        <w:t>include:</w:t>
      </w:r>
    </w:p>
    <w:p>
      <w:pPr>
        <w:pStyle w:val="BodyText"/>
        <w:tabs>
          <w:tab w:pos="2266" w:val="left" w:leader="none"/>
        </w:tabs>
        <w:spacing w:before="1"/>
        <w:ind w:left="588"/>
      </w:pPr>
      <w:r>
        <w:rPr>
          <w:color w:val="231F20"/>
        </w:rPr>
        <w:t>Brush</w:t>
      </w:r>
      <w:r>
        <w:rPr>
          <w:color w:val="231F20"/>
          <w:spacing w:val="11"/>
        </w:rPr>
        <w:t> </w:t>
      </w:r>
      <w:r>
        <w:rPr>
          <w:color w:val="231F20"/>
        </w:rPr>
        <w:t>Box</w:t>
        <w:tab/>
        <w:t>Lophostemon</w:t>
      </w:r>
      <w:r>
        <w:rPr>
          <w:color w:val="231F20"/>
          <w:spacing w:val="6"/>
        </w:rPr>
        <w:t> </w:t>
      </w:r>
      <w:r>
        <w:rPr>
          <w:color w:val="231F20"/>
        </w:rPr>
        <w:t>confertus</w:t>
      </w:r>
    </w:p>
    <w:p>
      <w:pPr>
        <w:pStyle w:val="BodyText"/>
        <w:tabs>
          <w:tab w:pos="2266" w:val="left" w:leader="none"/>
        </w:tabs>
        <w:spacing w:line="348" w:lineRule="auto" w:before="93"/>
        <w:ind w:left="2266" w:right="3261" w:hanging="1679"/>
      </w:pPr>
      <w:r>
        <w:rPr>
          <w:color w:val="231F20"/>
        </w:rPr>
        <w:t>Figs</w:t>
        <w:tab/>
        <w:t>Ficus microcarpa var. </w:t>
      </w:r>
      <w:r>
        <w:rPr>
          <w:color w:val="231F20"/>
          <w:spacing w:val="1"/>
        </w:rPr>
        <w:t>hillii </w:t>
      </w:r>
      <w:r>
        <w:rPr>
          <w:color w:val="231F20"/>
        </w:rPr>
        <w:t>Ficus</w:t>
      </w:r>
      <w:r>
        <w:rPr>
          <w:color w:val="231F20"/>
          <w:spacing w:val="8"/>
        </w:rPr>
        <w:t> </w:t>
      </w:r>
      <w:r>
        <w:rPr>
          <w:color w:val="231F20"/>
        </w:rPr>
        <w:t>rubignosa</w:t>
      </w:r>
    </w:p>
    <w:p>
      <w:pPr>
        <w:pStyle w:val="BodyText"/>
        <w:tabs>
          <w:tab w:pos="2266" w:val="left" w:leader="none"/>
        </w:tabs>
        <w:spacing w:line="348" w:lineRule="auto" w:before="1"/>
        <w:ind w:left="588" w:right="3366" w:firstLine="1678"/>
      </w:pPr>
      <w:r>
        <w:rPr>
          <w:color w:val="231F20"/>
        </w:rPr>
        <w:t>Ficus macrophylla Camphor</w:t>
      </w:r>
      <w:r>
        <w:rPr>
          <w:color w:val="231F20"/>
          <w:spacing w:val="16"/>
        </w:rPr>
        <w:t> </w:t>
      </w:r>
      <w:r>
        <w:rPr>
          <w:color w:val="231F20"/>
        </w:rPr>
        <w:t>laurel</w:t>
        <w:tab/>
        <w:t>Cinnamomum</w:t>
      </w:r>
      <w:r>
        <w:rPr>
          <w:color w:val="231F20"/>
          <w:spacing w:val="1"/>
        </w:rPr>
        <w:t> </w:t>
      </w:r>
      <w:r>
        <w:rPr>
          <w:color w:val="231F20"/>
        </w:rPr>
        <w:t>camphora</w:t>
      </w:r>
    </w:p>
    <w:p>
      <w:pPr>
        <w:spacing w:after="0" w:line="348" w:lineRule="auto"/>
        <w:sectPr>
          <w:type w:val="continuous"/>
          <w:pgSz w:w="11910" w:h="16840"/>
          <w:pgMar w:top="1360" w:bottom="280" w:left="460" w:right="440"/>
          <w:cols w:num="2" w:equalWidth="0">
            <w:col w:w="3225" w:space="460"/>
            <w:col w:w="7325"/>
          </w:cols>
        </w:sectPr>
      </w:pPr>
    </w:p>
    <w:p>
      <w:pPr>
        <w:tabs>
          <w:tab w:pos="2472" w:val="left" w:leader="none"/>
        </w:tabs>
        <w:spacing w:line="631" w:lineRule="exact" w:before="126"/>
        <w:ind w:left="0" w:right="124" w:firstLine="0"/>
        <w:jc w:val="right"/>
        <w:rPr>
          <w:b/>
          <w:sz w:val="56"/>
        </w:rPr>
      </w:pPr>
      <w:r>
        <w:rPr/>
        <w:pict>
          <v:shape style="position:absolute;margin-left:534.676270pt;margin-top:3.630104pt;width:19.5pt;height:55.1pt;mso-position-horizontal-relative:page;mso-position-vertical-relative:paragraph;z-index:-94480"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i/>
          <w:color w:val="231F20"/>
          <w:spacing w:val="6"/>
          <w:sz w:val="24"/>
        </w:rPr>
        <w:t>Marrickville</w:t>
      </w:r>
      <w:r>
        <w:rPr>
          <w:i/>
          <w:color w:val="231F20"/>
          <w:spacing w:val="22"/>
          <w:sz w:val="24"/>
        </w:rPr>
        <w:t> </w:t>
      </w:r>
      <w:r>
        <w:rPr>
          <w:i/>
          <w:color w:val="231F20"/>
          <w:spacing w:val="5"/>
          <w:sz w:val="24"/>
        </w:rPr>
        <w:t>Council</w:t>
        <w:tab/>
      </w:r>
      <w:r>
        <w:rPr>
          <w:b/>
          <w:color w:val="808285"/>
          <w:w w:val="95"/>
          <w:position w:val="2"/>
          <w:sz w:val="56"/>
        </w:rPr>
        <w:t>a</w:t>
      </w:r>
    </w:p>
    <w:p>
      <w:pPr>
        <w:spacing w:line="264" w:lineRule="exact" w:before="0"/>
        <w:ind w:left="0" w:right="964" w:firstLine="0"/>
        <w:jc w:val="righ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390" w:right="0" w:firstLine="0"/>
        <w:jc w:val="left"/>
        <w:rPr>
          <w:b/>
          <w:sz w:val="24"/>
        </w:rPr>
      </w:pPr>
      <w:r>
        <w:rPr>
          <w:b/>
          <w:color w:val="231F20"/>
          <w:sz w:val="24"/>
        </w:rPr>
        <w:t>Late 20th Century</w:t>
      </w:r>
    </w:p>
    <w:p>
      <w:pPr>
        <w:pStyle w:val="BodyText"/>
        <w:spacing w:before="2"/>
        <w:rPr>
          <w:b/>
          <w:sz w:val="33"/>
        </w:rPr>
      </w:pPr>
    </w:p>
    <w:p>
      <w:pPr>
        <w:pStyle w:val="BodyText"/>
        <w:spacing w:line="348" w:lineRule="auto"/>
        <w:ind w:left="390" w:right="4087"/>
      </w:pPr>
      <w:r>
        <w:rPr>
          <w:color w:val="231F20"/>
        </w:rPr>
        <w:t>Tree plantings of the late 20th century are predominantly associated with Council planted </w:t>
      </w:r>
      <w:r>
        <w:rPr>
          <w:color w:val="231F20"/>
          <w:spacing w:val="1"/>
        </w:rPr>
        <w:t>street </w:t>
      </w:r>
      <w:r>
        <w:rPr>
          <w:color w:val="231F20"/>
        </w:rPr>
        <w:t>trees and residential style ‘garden’ planting. Over time these plantings generally ‘filled-in’ </w:t>
      </w:r>
      <w:r>
        <w:rPr>
          <w:color w:val="231F20"/>
          <w:spacing w:val="1"/>
        </w:rPr>
        <w:t>the </w:t>
      </w:r>
      <w:r>
        <w:rPr>
          <w:color w:val="231F20"/>
        </w:rPr>
        <w:t>expansive urban subdivisions and gave many of Marrickville streetscapes a ‘treed-effect’ </w:t>
      </w:r>
      <w:r>
        <w:rPr>
          <w:color w:val="231F20"/>
          <w:spacing w:val="1"/>
        </w:rPr>
        <w:t>whilst </w:t>
      </w:r>
      <w:r>
        <w:rPr>
          <w:color w:val="231F20"/>
        </w:rPr>
        <w:t>creating</w:t>
      </w:r>
      <w:r>
        <w:rPr>
          <w:color w:val="231F20"/>
          <w:spacing w:val="7"/>
        </w:rPr>
        <w:t> </w:t>
      </w:r>
      <w:r>
        <w:rPr>
          <w:color w:val="231F20"/>
        </w:rPr>
        <w:t>a</w:t>
      </w:r>
      <w:r>
        <w:rPr>
          <w:color w:val="231F20"/>
          <w:spacing w:val="7"/>
        </w:rPr>
        <w:t> </w:t>
      </w:r>
      <w:r>
        <w:rPr>
          <w:color w:val="231F20"/>
        </w:rPr>
        <w:t>softened</w:t>
      </w:r>
      <w:r>
        <w:rPr>
          <w:color w:val="231F20"/>
          <w:spacing w:val="7"/>
        </w:rPr>
        <w:t> </w:t>
      </w:r>
      <w:r>
        <w:rPr>
          <w:color w:val="231F20"/>
        </w:rPr>
        <w:t>residential</w:t>
      </w:r>
      <w:r>
        <w:rPr>
          <w:color w:val="231F20"/>
          <w:spacing w:val="7"/>
        </w:rPr>
        <w:t> </w:t>
      </w:r>
      <w:r>
        <w:rPr>
          <w:color w:val="231F20"/>
        </w:rPr>
        <w:t>fabric</w:t>
      </w:r>
      <w:r>
        <w:rPr>
          <w:color w:val="231F20"/>
          <w:spacing w:val="7"/>
        </w:rPr>
        <w:t> </w:t>
      </w:r>
      <w:r>
        <w:rPr>
          <w:color w:val="231F20"/>
        </w:rPr>
        <w:t>at</w:t>
      </w:r>
      <w:r>
        <w:rPr>
          <w:color w:val="231F20"/>
          <w:spacing w:val="7"/>
        </w:rPr>
        <w:t> </w:t>
      </w:r>
      <w:r>
        <w:rPr>
          <w:color w:val="231F20"/>
        </w:rPr>
        <w:t>a</w:t>
      </w:r>
      <w:r>
        <w:rPr>
          <w:color w:val="231F20"/>
          <w:spacing w:val="7"/>
        </w:rPr>
        <w:t> </w:t>
      </w:r>
      <w:r>
        <w:rPr>
          <w:color w:val="231F20"/>
        </w:rPr>
        <w:t>human</w:t>
      </w:r>
      <w:r>
        <w:rPr>
          <w:color w:val="231F20"/>
          <w:spacing w:val="7"/>
        </w:rPr>
        <w:t> </w:t>
      </w:r>
      <w:r>
        <w:rPr>
          <w:color w:val="231F20"/>
          <w:spacing w:val="1"/>
        </w:rPr>
        <w:t>scale.</w:t>
      </w:r>
    </w:p>
    <w:p>
      <w:pPr>
        <w:pStyle w:val="BodyText"/>
        <w:spacing w:before="3"/>
        <w:rPr>
          <w:sz w:val="26"/>
        </w:rPr>
      </w:pPr>
    </w:p>
    <w:p>
      <w:pPr>
        <w:pStyle w:val="BodyText"/>
        <w:spacing w:line="348" w:lineRule="auto" w:before="1"/>
        <w:ind w:left="390" w:right="4087"/>
      </w:pPr>
      <w:r>
        <w:rPr>
          <w:color w:val="231F20"/>
        </w:rPr>
        <w:t>By 1972 Council maintained less than 1,500 street trees that were planted in the early part of that century. The few that survive today are fine large trees that contribute significantly to the urban environment (refer Figures 9 &amp; 10: Canonbury Grove, Dulwich Hill, c. 1936 &amp; 2005).</w:t>
      </w:r>
    </w:p>
    <w:p>
      <w:pPr>
        <w:pStyle w:val="BodyText"/>
        <w:spacing w:before="3"/>
        <w:rPr>
          <w:sz w:val="26"/>
        </w:rPr>
      </w:pPr>
    </w:p>
    <w:p>
      <w:pPr>
        <w:pStyle w:val="BodyText"/>
        <w:spacing w:line="348" w:lineRule="auto"/>
        <w:ind w:left="390" w:right="4087"/>
      </w:pPr>
      <w:r>
        <w:rPr>
          <w:color w:val="231F20"/>
        </w:rPr>
        <w:t>Between 1972 and 1992 approximately 33,500 street trees were planted in Marrickville, the main species (other than those previously listed) being:</w:t>
      </w:r>
    </w:p>
    <w:p>
      <w:pPr>
        <w:spacing w:after="0" w:line="348" w:lineRule="auto"/>
        <w:sectPr>
          <w:pgSz w:w="11910" w:h="16840"/>
          <w:pgMar w:header="0" w:footer="779" w:top="920" w:bottom="960" w:left="460" w:right="440"/>
        </w:sectPr>
      </w:pPr>
    </w:p>
    <w:p>
      <w:pPr>
        <w:pStyle w:val="BodyText"/>
        <w:spacing w:before="1"/>
      </w:pPr>
      <w:r>
        <w:rPr/>
        <w:pict>
          <v:group style="position:absolute;margin-left:42.5201pt;margin-top:28.919714pt;width:524.450pt;height:771.55pt;mso-position-horizontal-relative:page;mso-position-vertical-relative:page;z-index:-94528"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v:shape style="position:absolute;left:8220;top:7908;width:3119;height:3900" type="#_x0000_t75" stroked="false">
              <v:imagedata r:id="rId28" o:title=""/>
            </v:shape>
            <v:shape style="position:absolute;left:8220;top:2508;width:3119;height:4200" type="#_x0000_t75" stroked="false">
              <v:imagedata r:id="rId29" o:title=""/>
            </v:shape>
            <w10:wrap type="none"/>
          </v:group>
        </w:pict>
      </w:r>
    </w:p>
    <w:p>
      <w:pPr>
        <w:pStyle w:val="BodyText"/>
        <w:tabs>
          <w:tab w:pos="3270" w:val="left" w:leader="none"/>
        </w:tabs>
        <w:spacing w:line="300" w:lineRule="atLeast"/>
        <w:ind w:left="730" w:right="2183"/>
      </w:pPr>
      <w:r>
        <w:rPr>
          <w:color w:val="231F20"/>
        </w:rPr>
        <w:t>Broad-leaved</w:t>
      </w:r>
      <w:r>
        <w:rPr>
          <w:color w:val="231F20"/>
          <w:spacing w:val="18"/>
        </w:rPr>
        <w:t> </w:t>
      </w:r>
      <w:r>
        <w:rPr>
          <w:color w:val="231F20"/>
        </w:rPr>
        <w:t>Paper</w:t>
      </w:r>
      <w:r>
        <w:rPr>
          <w:color w:val="231F20"/>
          <w:spacing w:val="18"/>
        </w:rPr>
        <w:t> </w:t>
      </w:r>
      <w:r>
        <w:rPr>
          <w:color w:val="231F20"/>
        </w:rPr>
        <w:t>Bark</w:t>
        <w:tab/>
        <w:t>Melaleuca quinquenervia Eucalyptus</w:t>
      </w:r>
      <w:r>
        <w:rPr>
          <w:color w:val="231F20"/>
          <w:spacing w:val="20"/>
        </w:rPr>
        <w:t> </w:t>
      </w:r>
      <w:r>
        <w:rPr>
          <w:color w:val="231F20"/>
        </w:rPr>
        <w:t>species</w:t>
        <w:tab/>
        <w:t>Eucalyptus</w:t>
      </w:r>
      <w:r>
        <w:rPr>
          <w:color w:val="231F20"/>
          <w:spacing w:val="10"/>
        </w:rPr>
        <w:t> </w:t>
      </w:r>
      <w:r>
        <w:rPr>
          <w:color w:val="231F20"/>
        </w:rPr>
        <w:t>nicholii</w:t>
      </w:r>
    </w:p>
    <w:p>
      <w:pPr>
        <w:pStyle w:val="BodyText"/>
        <w:spacing w:line="278" w:lineRule="auto" w:before="33"/>
        <w:ind w:left="3270" w:right="1074"/>
      </w:pPr>
      <w:r>
        <w:rPr>
          <w:color w:val="231F20"/>
        </w:rPr>
        <w:t>Corymbia (Eucalyptus) citriodora| Eucalyptus scoparia</w:t>
      </w:r>
    </w:p>
    <w:p>
      <w:pPr>
        <w:pStyle w:val="BodyText"/>
        <w:spacing w:line="278" w:lineRule="auto" w:before="1"/>
        <w:ind w:left="3270" w:right="1074"/>
      </w:pPr>
      <w:r>
        <w:rPr/>
        <w:pict>
          <v:shape style="position:absolute;margin-left:333.488190pt;margin-top:15.178135pt;width:21.35pt;height:62.6pt;mso-position-horizontal-relative:page;mso-position-vertical-relative:paragraph;z-index:2440" type="#_x0000_t202" filled="false" stroked="false">
            <v:textbox inset="0,0,0,0" style="layout-flow:vertical;mso-layout-flow-alt:bottom-to-top">
              <w:txbxContent>
                <w:p>
                  <w:pPr>
                    <w:spacing w:line="208" w:lineRule="auto" w:before="41"/>
                    <w:ind w:left="325" w:right="0" w:hanging="306"/>
                    <w:jc w:val="left"/>
                    <w:rPr>
                      <w:b/>
                      <w:sz w:val="18"/>
                    </w:rPr>
                  </w:pPr>
                  <w:r>
                    <w:rPr>
                      <w:b/>
                      <w:color w:val="231F20"/>
                      <w:sz w:val="18"/>
                    </w:rPr>
                    <w:t>Species causing concern</w:t>
                  </w:r>
                </w:p>
              </w:txbxContent>
            </v:textbox>
            <w10:wrap type="none"/>
          </v:shape>
        </w:pict>
      </w:r>
      <w:r>
        <w:rPr>
          <w:color w:val="231F20"/>
        </w:rPr>
        <w:t>Corymbia (Eucalyptus) maculata Eucalyptus cinerea</w:t>
      </w:r>
    </w:p>
    <w:p>
      <w:pPr>
        <w:pStyle w:val="BodyText"/>
        <w:tabs>
          <w:tab w:pos="3270" w:val="left" w:leader="none"/>
        </w:tabs>
        <w:spacing w:before="61"/>
        <w:ind w:left="730"/>
      </w:pPr>
      <w:r>
        <w:rPr>
          <w:color w:val="231F20"/>
        </w:rPr>
        <w:t>Weeping</w:t>
      </w:r>
      <w:r>
        <w:rPr>
          <w:color w:val="231F20"/>
          <w:spacing w:val="20"/>
        </w:rPr>
        <w:t> </w:t>
      </w:r>
      <w:r>
        <w:rPr>
          <w:color w:val="231F20"/>
        </w:rPr>
        <w:t>Bottlebrush</w:t>
        <w:tab/>
        <w:t>Callistemon viminalis ‘Hannah</w:t>
      </w:r>
      <w:r>
        <w:rPr>
          <w:color w:val="231F20"/>
          <w:spacing w:val="27"/>
        </w:rPr>
        <w:t> </w:t>
      </w:r>
      <w:r>
        <w:rPr>
          <w:color w:val="231F20"/>
        </w:rPr>
        <w:t>Ray’</w:t>
      </w:r>
    </w:p>
    <w:p>
      <w:pPr>
        <w:pStyle w:val="BodyText"/>
        <w:tabs>
          <w:tab w:pos="3270" w:val="left" w:leader="none"/>
        </w:tabs>
        <w:spacing w:before="93"/>
        <w:ind w:left="730"/>
      </w:pPr>
      <w:r>
        <w:rPr>
          <w:color w:val="231F20"/>
        </w:rPr>
        <w:t>Bottlebrush</w:t>
        <w:tab/>
        <w:t>Callistemon</w:t>
      </w:r>
      <w:r>
        <w:rPr>
          <w:color w:val="231F20"/>
          <w:spacing w:val="6"/>
        </w:rPr>
        <w:t> </w:t>
      </w:r>
      <w:r>
        <w:rPr>
          <w:color w:val="231F20"/>
        </w:rPr>
        <w:t>citrinus</w:t>
      </w:r>
    </w:p>
    <w:p>
      <w:pPr>
        <w:pStyle w:val="BodyText"/>
        <w:tabs>
          <w:tab w:pos="3270" w:val="left" w:leader="none"/>
        </w:tabs>
        <w:spacing w:before="94"/>
        <w:ind w:left="730"/>
      </w:pPr>
      <w:r>
        <w:rPr>
          <w:color w:val="231F20"/>
        </w:rPr>
        <w:t>Hibiscus</w:t>
        <w:tab/>
        <w:t>Hibiscus</w:t>
      </w:r>
      <w:r>
        <w:rPr>
          <w:color w:val="231F20"/>
          <w:spacing w:val="6"/>
        </w:rPr>
        <w:t> </w:t>
      </w:r>
      <w:r>
        <w:rPr>
          <w:color w:val="231F20"/>
        </w:rPr>
        <w:t>sinensis</w:t>
      </w:r>
    </w:p>
    <w:p>
      <w:pPr>
        <w:pStyle w:val="BodyText"/>
        <w:tabs>
          <w:tab w:pos="3270" w:val="left" w:leader="none"/>
        </w:tabs>
        <w:spacing w:before="93"/>
        <w:ind w:left="730"/>
      </w:pPr>
      <w:r>
        <w:rPr>
          <w:color w:val="231F20"/>
        </w:rPr>
        <w:t>Jacaranda</w:t>
        <w:tab/>
        <w:t>Jacaranda</w:t>
      </w:r>
      <w:r>
        <w:rPr>
          <w:color w:val="231F20"/>
          <w:spacing w:val="7"/>
        </w:rPr>
        <w:t> </w:t>
      </w:r>
      <w:r>
        <w:rPr>
          <w:color w:val="231F20"/>
        </w:rPr>
        <w:t>mimosifolia</w:t>
      </w:r>
    </w:p>
    <w:p>
      <w:pPr>
        <w:pStyle w:val="BodyText"/>
        <w:tabs>
          <w:tab w:pos="3270" w:val="left" w:leader="none"/>
        </w:tabs>
        <w:spacing w:line="278" w:lineRule="auto" w:before="94"/>
        <w:ind w:left="3270" w:right="2448" w:hanging="2540"/>
      </w:pPr>
      <w:r>
        <w:rPr>
          <w:color w:val="231F20"/>
        </w:rPr>
        <w:t>Norfolk</w:t>
      </w:r>
      <w:r>
        <w:rPr>
          <w:color w:val="231F20"/>
          <w:spacing w:val="18"/>
        </w:rPr>
        <w:t> </w:t>
      </w:r>
      <w:r>
        <w:rPr>
          <w:color w:val="231F20"/>
        </w:rPr>
        <w:t>Island</w:t>
      </w:r>
      <w:r>
        <w:rPr>
          <w:color w:val="231F20"/>
          <w:spacing w:val="18"/>
        </w:rPr>
        <w:t> </w:t>
      </w:r>
      <w:r>
        <w:rPr>
          <w:color w:val="231F20"/>
        </w:rPr>
        <w:t>Hibiscus</w:t>
        <w:tab/>
        <w:t>Lagunaria patersonia Melaleuca</w:t>
      </w:r>
      <w:r>
        <w:rPr>
          <w:color w:val="231F20"/>
          <w:spacing w:val="25"/>
        </w:rPr>
        <w:t> </w:t>
      </w:r>
      <w:r>
        <w:rPr>
          <w:color w:val="231F20"/>
        </w:rPr>
        <w:t>bracteata</w:t>
      </w:r>
    </w:p>
    <w:p>
      <w:pPr>
        <w:pStyle w:val="BodyText"/>
        <w:tabs>
          <w:tab w:pos="3270" w:val="left" w:leader="none"/>
        </w:tabs>
        <w:spacing w:before="60"/>
        <w:ind w:left="730"/>
      </w:pPr>
      <w:r>
        <w:rPr>
          <w:color w:val="231F20"/>
        </w:rPr>
        <w:t>Flowering</w:t>
      </w:r>
      <w:r>
        <w:rPr>
          <w:color w:val="231F20"/>
          <w:spacing w:val="16"/>
        </w:rPr>
        <w:t> </w:t>
      </w:r>
      <w:r>
        <w:rPr>
          <w:color w:val="231F20"/>
        </w:rPr>
        <w:t>Plum</w:t>
        <w:tab/>
        <w:t>Prunus x</w:t>
      </w:r>
      <w:r>
        <w:rPr>
          <w:color w:val="231F20"/>
          <w:spacing w:val="15"/>
        </w:rPr>
        <w:t> </w:t>
      </w:r>
      <w:r>
        <w:rPr>
          <w:color w:val="231F20"/>
        </w:rPr>
        <w:t>blireana</w:t>
      </w:r>
    </w:p>
    <w:p>
      <w:pPr>
        <w:pStyle w:val="BodyText"/>
        <w:tabs>
          <w:tab w:pos="3270" w:val="left" w:leader="none"/>
        </w:tabs>
        <w:spacing w:before="94"/>
        <w:ind w:left="730"/>
      </w:pPr>
      <w:r>
        <w:rPr>
          <w:color w:val="231F20"/>
        </w:rPr>
        <w:t>Plum</w:t>
      </w:r>
      <w:r>
        <w:rPr>
          <w:color w:val="231F20"/>
          <w:spacing w:val="11"/>
        </w:rPr>
        <w:t> </w:t>
      </w:r>
      <w:r>
        <w:rPr>
          <w:color w:val="231F20"/>
        </w:rPr>
        <w:t>Pine</w:t>
        <w:tab/>
        <w:t>Podocarpus</w:t>
      </w:r>
      <w:r>
        <w:rPr>
          <w:color w:val="231F20"/>
          <w:spacing w:val="6"/>
        </w:rPr>
        <w:t> </w:t>
      </w:r>
      <w:r>
        <w:rPr>
          <w:color w:val="231F20"/>
          <w:spacing w:val="1"/>
        </w:rPr>
        <w:t>elatus</w:t>
      </w:r>
    </w:p>
    <w:p>
      <w:pPr>
        <w:pStyle w:val="BodyText"/>
        <w:rPr>
          <w:sz w:val="20"/>
        </w:rPr>
      </w:pPr>
    </w:p>
    <w:p>
      <w:pPr>
        <w:pStyle w:val="BodyText"/>
        <w:spacing w:line="348" w:lineRule="auto" w:before="164"/>
        <w:ind w:left="390" w:right="393"/>
      </w:pPr>
      <w:r>
        <w:rPr>
          <w:color w:val="231F20"/>
        </w:rPr>
        <w:t>In comparison to earlier planting, a larger variety of species have been used, with many </w:t>
      </w:r>
      <w:r>
        <w:rPr>
          <w:color w:val="231F20"/>
          <w:spacing w:val="1"/>
        </w:rPr>
        <w:t>chosen       </w:t>
      </w:r>
      <w:r>
        <w:rPr>
          <w:color w:val="231F20"/>
        </w:rPr>
        <w:t>on the basis of trends or personal taste of the responsible Council Officers2. No approved </w:t>
      </w:r>
      <w:r>
        <w:rPr>
          <w:color w:val="231F20"/>
          <w:spacing w:val="1"/>
        </w:rPr>
        <w:t>master  </w:t>
      </w:r>
      <w:r>
        <w:rPr>
          <w:color w:val="231F20"/>
        </w:rPr>
        <w:t>plan was developed to guide this</w:t>
      </w:r>
      <w:r>
        <w:rPr>
          <w:color w:val="231F20"/>
          <w:spacing w:val="5"/>
        </w:rPr>
        <w:t> </w:t>
      </w:r>
      <w:r>
        <w:rPr>
          <w:color w:val="231F20"/>
        </w:rPr>
        <w:t>work.</w:t>
      </w:r>
    </w:p>
    <w:p>
      <w:pPr>
        <w:pStyle w:val="BodyText"/>
        <w:spacing w:before="3"/>
        <w:rPr>
          <w:sz w:val="26"/>
        </w:rPr>
      </w:pPr>
    </w:p>
    <w:p>
      <w:pPr>
        <w:pStyle w:val="BodyText"/>
        <w:spacing w:line="348" w:lineRule="auto"/>
        <w:ind w:left="390" w:right="44" w:firstLine="44"/>
      </w:pPr>
      <w:r>
        <w:rPr>
          <w:color w:val="231F20"/>
        </w:rPr>
        <w:t>In the late 20th Century most of Council’s parkland works  related  to  facility  upgrades  </w:t>
      </w:r>
      <w:r>
        <w:rPr>
          <w:color w:val="231F20"/>
          <w:spacing w:val="1"/>
        </w:rPr>
        <w:t>and </w:t>
      </w:r>
      <w:r>
        <w:rPr>
          <w:color w:val="231F20"/>
        </w:rPr>
        <w:t>associated planting to existing parks and reserves. Although land was far less available some </w:t>
      </w:r>
      <w:r>
        <w:rPr>
          <w:color w:val="231F20"/>
          <w:spacing w:val="1"/>
        </w:rPr>
        <w:t>new </w:t>
      </w:r>
      <w:r>
        <w:rPr>
          <w:color w:val="231F20"/>
        </w:rPr>
        <w:t>parks were created, for</w:t>
      </w:r>
      <w:r>
        <w:rPr>
          <w:color w:val="231F20"/>
          <w:spacing w:val="30"/>
        </w:rPr>
        <w:t> </w:t>
      </w:r>
      <w:r>
        <w:rPr>
          <w:color w:val="231F20"/>
        </w:rPr>
        <w:t>example:</w:t>
      </w:r>
    </w:p>
    <w:p>
      <w:pPr>
        <w:pStyle w:val="ListParagraph"/>
        <w:numPr>
          <w:ilvl w:val="1"/>
          <w:numId w:val="26"/>
        </w:numPr>
        <w:tabs>
          <w:tab w:pos="873" w:val="left" w:leader="none"/>
          <w:tab w:pos="3224" w:val="left" w:leader="none"/>
        </w:tabs>
        <w:spacing w:line="240" w:lineRule="auto" w:before="2" w:after="0"/>
        <w:ind w:left="872" w:right="0" w:hanging="142"/>
        <w:jc w:val="left"/>
        <w:rPr>
          <w:sz w:val="18"/>
        </w:rPr>
      </w:pPr>
      <w:r>
        <w:rPr>
          <w:color w:val="231F20"/>
          <w:sz w:val="18"/>
        </w:rPr>
        <w:t>Montague</w:t>
      </w:r>
      <w:r>
        <w:rPr>
          <w:color w:val="231F20"/>
          <w:spacing w:val="38"/>
          <w:sz w:val="18"/>
        </w:rPr>
        <w:t> </w:t>
      </w:r>
      <w:r>
        <w:rPr>
          <w:color w:val="231F20"/>
          <w:sz w:val="18"/>
        </w:rPr>
        <w:t>Gardens</w:t>
        <w:tab/>
        <w:t>1970’s</w:t>
      </w:r>
    </w:p>
    <w:p>
      <w:pPr>
        <w:pStyle w:val="ListParagraph"/>
        <w:numPr>
          <w:ilvl w:val="1"/>
          <w:numId w:val="26"/>
        </w:numPr>
        <w:tabs>
          <w:tab w:pos="873" w:val="left" w:leader="none"/>
          <w:tab w:pos="3224" w:val="left" w:leader="none"/>
        </w:tabs>
        <w:spacing w:line="240" w:lineRule="auto" w:before="93" w:after="0"/>
        <w:ind w:left="872" w:right="0" w:hanging="142"/>
        <w:jc w:val="left"/>
        <w:rPr>
          <w:sz w:val="18"/>
        </w:rPr>
      </w:pPr>
      <w:r>
        <w:rPr>
          <w:color w:val="231F20"/>
          <w:sz w:val="18"/>
        </w:rPr>
        <w:t>Louisa</w:t>
      </w:r>
      <w:r>
        <w:rPr>
          <w:color w:val="231F20"/>
          <w:spacing w:val="27"/>
          <w:sz w:val="18"/>
        </w:rPr>
        <w:t> </w:t>
      </w:r>
      <w:r>
        <w:rPr>
          <w:color w:val="231F20"/>
          <w:sz w:val="18"/>
        </w:rPr>
        <w:t>Lawson</w:t>
      </w:r>
      <w:r>
        <w:rPr>
          <w:color w:val="231F20"/>
          <w:spacing w:val="27"/>
          <w:sz w:val="18"/>
        </w:rPr>
        <w:t> </w:t>
      </w:r>
      <w:r>
        <w:rPr>
          <w:color w:val="231F20"/>
          <w:sz w:val="18"/>
        </w:rPr>
        <w:t>Reserve</w:t>
        <w:tab/>
        <w:t>1970’s</w:t>
      </w:r>
    </w:p>
    <w:p>
      <w:pPr>
        <w:pStyle w:val="ListParagraph"/>
        <w:numPr>
          <w:ilvl w:val="1"/>
          <w:numId w:val="26"/>
        </w:numPr>
        <w:tabs>
          <w:tab w:pos="873" w:val="left" w:leader="none"/>
          <w:tab w:pos="3224" w:val="left" w:leader="none"/>
        </w:tabs>
        <w:spacing w:line="240" w:lineRule="auto" w:before="93" w:after="0"/>
        <w:ind w:left="872" w:right="0" w:hanging="142"/>
        <w:jc w:val="left"/>
        <w:rPr>
          <w:sz w:val="18"/>
        </w:rPr>
      </w:pPr>
      <w:r>
        <w:rPr>
          <w:color w:val="231F20"/>
          <w:sz w:val="18"/>
        </w:rPr>
        <w:t>Mat</w:t>
      </w:r>
      <w:r>
        <w:rPr>
          <w:color w:val="231F20"/>
          <w:spacing w:val="21"/>
          <w:sz w:val="18"/>
        </w:rPr>
        <w:t> </w:t>
      </w:r>
      <w:r>
        <w:rPr>
          <w:color w:val="231F20"/>
          <w:sz w:val="18"/>
        </w:rPr>
        <w:t>Hogan</w:t>
      </w:r>
      <w:r>
        <w:rPr>
          <w:color w:val="231F20"/>
          <w:spacing w:val="21"/>
          <w:sz w:val="18"/>
        </w:rPr>
        <w:t> </w:t>
      </w:r>
      <w:r>
        <w:rPr>
          <w:color w:val="231F20"/>
          <w:sz w:val="18"/>
        </w:rPr>
        <w:t>Reserve</w:t>
        <w:tab/>
        <w:t>1980’s</w:t>
      </w:r>
    </w:p>
    <w:p>
      <w:pPr>
        <w:pStyle w:val="ListParagraph"/>
        <w:numPr>
          <w:ilvl w:val="1"/>
          <w:numId w:val="26"/>
        </w:numPr>
        <w:tabs>
          <w:tab w:pos="873" w:val="left" w:leader="none"/>
          <w:tab w:pos="3224" w:val="left" w:leader="none"/>
        </w:tabs>
        <w:spacing w:line="240" w:lineRule="auto" w:before="93" w:after="0"/>
        <w:ind w:left="872" w:right="0" w:hanging="142"/>
        <w:jc w:val="left"/>
        <w:rPr>
          <w:sz w:val="18"/>
        </w:rPr>
      </w:pPr>
      <w:r>
        <w:rPr>
          <w:color w:val="231F20"/>
          <w:sz w:val="18"/>
        </w:rPr>
        <w:t>Peace</w:t>
      </w:r>
      <w:r>
        <w:rPr>
          <w:color w:val="231F20"/>
          <w:spacing w:val="25"/>
          <w:sz w:val="18"/>
        </w:rPr>
        <w:t> </w:t>
      </w:r>
      <w:r>
        <w:rPr>
          <w:color w:val="231F20"/>
          <w:sz w:val="18"/>
        </w:rPr>
        <w:t>Park</w:t>
        <w:tab/>
        <w:t>1990’s</w:t>
      </w:r>
    </w:p>
    <w:p>
      <w:pPr>
        <w:pStyle w:val="ListParagraph"/>
        <w:numPr>
          <w:ilvl w:val="1"/>
          <w:numId w:val="26"/>
        </w:numPr>
        <w:tabs>
          <w:tab w:pos="873" w:val="left" w:leader="none"/>
          <w:tab w:pos="3224" w:val="left" w:leader="none"/>
        </w:tabs>
        <w:spacing w:line="240" w:lineRule="auto" w:before="93" w:after="0"/>
        <w:ind w:left="872" w:right="0" w:hanging="142"/>
        <w:jc w:val="left"/>
        <w:rPr>
          <w:sz w:val="18"/>
        </w:rPr>
      </w:pPr>
      <w:r>
        <w:rPr>
          <w:color w:val="231F20"/>
          <w:sz w:val="18"/>
        </w:rPr>
        <w:t>Sydenham</w:t>
      </w:r>
      <w:r>
        <w:rPr>
          <w:color w:val="231F20"/>
          <w:spacing w:val="35"/>
          <w:sz w:val="18"/>
        </w:rPr>
        <w:t> </w:t>
      </w:r>
      <w:r>
        <w:rPr>
          <w:color w:val="231F20"/>
          <w:sz w:val="18"/>
        </w:rPr>
        <w:t>Green</w:t>
        <w:tab/>
        <w:t>1990’s</w:t>
      </w:r>
    </w:p>
    <w:p>
      <w:pPr>
        <w:pStyle w:val="BodyText"/>
        <w:rPr>
          <w:sz w:val="20"/>
        </w:rPr>
      </w:pPr>
    </w:p>
    <w:p>
      <w:pPr>
        <w:pStyle w:val="BodyText"/>
        <w:spacing w:line="348" w:lineRule="auto" w:before="163"/>
        <w:ind w:left="390" w:right="393"/>
      </w:pPr>
      <w:r>
        <w:rPr>
          <w:color w:val="231F20"/>
        </w:rPr>
        <w:t>These parks are regarded as quite young, and consequently, canopy trees may not yet be in a mature state.</w:t>
      </w:r>
    </w:p>
    <w:p>
      <w:pPr>
        <w:pStyle w:val="BodyText"/>
        <w:spacing w:before="2"/>
        <w:rPr>
          <w:sz w:val="17"/>
        </w:rPr>
      </w:pPr>
      <w:r>
        <w:rPr/>
        <w:br w:type="column"/>
      </w:r>
      <w:r>
        <w:rPr>
          <w:sz w:val="17"/>
        </w:rPr>
      </w:r>
    </w:p>
    <w:p>
      <w:pPr>
        <w:spacing w:line="268" w:lineRule="auto" w:before="0"/>
        <w:ind w:left="390" w:right="200" w:firstLine="0"/>
        <w:jc w:val="left"/>
        <w:rPr>
          <w:i/>
          <w:sz w:val="14"/>
        </w:rPr>
      </w:pPr>
      <w:r>
        <w:rPr>
          <w:b/>
          <w:i/>
          <w:color w:val="231F20"/>
          <w:sz w:val="14"/>
        </w:rPr>
        <w:t>Figure 15. </w:t>
      </w:r>
      <w:r>
        <w:rPr>
          <w:i/>
          <w:color w:val="231F20"/>
          <w:sz w:val="14"/>
        </w:rPr>
        <w:t>Corymbia (Eucalyptus) citriodora, Brighton </w:t>
      </w:r>
      <w:r>
        <w:rPr>
          <w:i/>
          <w:color w:val="231F20"/>
          <w:sz w:val="14"/>
        </w:rPr>
        <w:t>Street, Petersham</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
        <w:rPr>
          <w:i/>
          <w:sz w:val="13"/>
        </w:rPr>
      </w:pPr>
    </w:p>
    <w:p>
      <w:pPr>
        <w:spacing w:line="268" w:lineRule="auto" w:before="0"/>
        <w:ind w:left="396" w:right="200" w:firstLine="0"/>
        <w:jc w:val="left"/>
        <w:rPr>
          <w:i/>
          <w:sz w:val="14"/>
        </w:rPr>
      </w:pPr>
      <w:r>
        <w:rPr>
          <w:b/>
          <w:i/>
          <w:color w:val="231F20"/>
          <w:sz w:val="14"/>
        </w:rPr>
        <w:t>Figure 16. </w:t>
      </w:r>
      <w:r>
        <w:rPr>
          <w:i/>
          <w:color w:val="231F20"/>
          <w:sz w:val="14"/>
        </w:rPr>
        <w:t>Flindersia australia, Hopetoun Street, </w:t>
      </w:r>
      <w:r>
        <w:rPr>
          <w:i/>
          <w:color w:val="231F20"/>
          <w:sz w:val="14"/>
        </w:rPr>
        <w:t>Camperdown</w:t>
      </w: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rPr>
          <w:i/>
          <w:sz w:val="16"/>
        </w:rPr>
      </w:pPr>
    </w:p>
    <w:p>
      <w:pPr>
        <w:pStyle w:val="BodyText"/>
        <w:spacing w:before="1"/>
        <w:rPr>
          <w:i/>
          <w:sz w:val="17"/>
        </w:rPr>
      </w:pPr>
    </w:p>
    <w:p>
      <w:pPr>
        <w:spacing w:line="268" w:lineRule="auto" w:before="0"/>
        <w:ind w:left="532" w:right="347" w:hanging="142"/>
        <w:jc w:val="both"/>
        <w:rPr>
          <w:sz w:val="14"/>
        </w:rPr>
      </w:pPr>
      <w:r>
        <w:rPr>
          <w:color w:val="231F20"/>
          <w:sz w:val="14"/>
        </w:rPr>
        <w:t>2 P.7 Marrickville Street Trees Tree Policy review and Guidelines, Technical Services, Marrickville Council 1993</w:t>
      </w:r>
    </w:p>
    <w:p>
      <w:pPr>
        <w:spacing w:after="0" w:line="268" w:lineRule="auto"/>
        <w:jc w:val="both"/>
        <w:rPr>
          <w:sz w:val="14"/>
        </w:rPr>
        <w:sectPr>
          <w:type w:val="continuous"/>
          <w:pgSz w:w="11910" w:h="16840"/>
          <w:pgMar w:top="1360" w:bottom="280" w:left="460" w:right="440"/>
          <w:cols w:num="2" w:equalWidth="0">
            <w:col w:w="7180" w:space="190"/>
            <w:col w:w="3640"/>
          </w:cols>
        </w:sectPr>
      </w:pPr>
    </w:p>
    <w:p>
      <w:pPr>
        <w:tabs>
          <w:tab w:pos="1347" w:val="left" w:leader="none"/>
        </w:tabs>
        <w:spacing w:line="631" w:lineRule="exact" w:before="126"/>
        <w:ind w:left="610" w:right="0" w:firstLine="0"/>
        <w:jc w:val="left"/>
        <w:rPr>
          <w:i/>
          <w:sz w:val="24"/>
        </w:rPr>
      </w:pPr>
      <w:r>
        <w:rPr/>
        <w:pict>
          <v:group style="position:absolute;margin-left:22.676901pt;margin-top:28.346714pt;width:530.1pt;height:772.1pt;mso-position-horizontal-relative:page;mso-position-vertical-relative:page;z-index:-94456"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w10:wrap type="none"/>
          </v:group>
        </w:pict>
      </w:r>
      <w:r>
        <w:rPr/>
        <w:pict>
          <v:shape style="position:absolute;margin-left:34.015701pt;margin-top:3.630104pt;width:19.5pt;height:55.1pt;mso-position-horizontal-relative:page;mso-position-vertical-relative:paragraph;z-index:2512"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b/>
          <w:color w:val="808285"/>
          <w:position w:val="2"/>
          <w:sz w:val="56"/>
        </w:rPr>
        <w:t>a</w:t>
        <w:tab/>
      </w:r>
      <w:r>
        <w:rPr>
          <w:i/>
          <w:color w:val="231F20"/>
          <w:spacing w:val="6"/>
          <w:sz w:val="24"/>
        </w:rPr>
        <w:t>Marrickville</w:t>
      </w:r>
      <w:r>
        <w:rPr>
          <w:i/>
          <w:color w:val="231F20"/>
          <w:spacing w:val="40"/>
          <w:sz w:val="24"/>
        </w:rPr>
        <w:t> </w:t>
      </w:r>
      <w:r>
        <w:rPr>
          <w:i/>
          <w:color w:val="231F20"/>
          <w:spacing w:val="7"/>
          <w:sz w:val="24"/>
        </w:rPr>
        <w:t>Council</w:t>
      </w:r>
    </w:p>
    <w:p>
      <w:pPr>
        <w:spacing w:line="264" w:lineRule="exact" w:before="0"/>
        <w:ind w:left="966" w:right="0" w:firstLine="0"/>
        <w:jc w:val="lef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3791" w:right="0" w:firstLine="0"/>
        <w:jc w:val="left"/>
        <w:rPr>
          <w:b/>
          <w:sz w:val="24"/>
        </w:rPr>
      </w:pPr>
      <w:r>
        <w:rPr>
          <w:b/>
          <w:color w:val="231F20"/>
          <w:sz w:val="24"/>
        </w:rPr>
        <w:t>1992 - 2009</w:t>
      </w:r>
    </w:p>
    <w:p>
      <w:pPr>
        <w:pStyle w:val="BodyText"/>
        <w:spacing w:before="2"/>
        <w:rPr>
          <w:b/>
          <w:sz w:val="33"/>
        </w:rPr>
      </w:pPr>
    </w:p>
    <w:p>
      <w:pPr>
        <w:pStyle w:val="BodyText"/>
        <w:spacing w:line="348" w:lineRule="auto"/>
        <w:ind w:left="3791" w:right="718"/>
      </w:pPr>
      <w:r>
        <w:rPr>
          <w:color w:val="231F20"/>
        </w:rPr>
        <w:t>By 1992 Council’s focus was on  the  smooth  administration  of  the Tree  Preservation  Order  </w:t>
      </w:r>
      <w:r>
        <w:rPr>
          <w:color w:val="231F20"/>
          <w:spacing w:val="1"/>
        </w:rPr>
        <w:t>and </w:t>
      </w:r>
      <w:r>
        <w:rPr>
          <w:color w:val="231F20"/>
        </w:rPr>
        <w:t>the management of street trees. Adjustments to Council’s processes were formalised in response      to growing pressure on the Park Section staff resources in dealing with private tree disputes </w:t>
      </w:r>
      <w:r>
        <w:rPr>
          <w:color w:val="231F20"/>
          <w:spacing w:val="1"/>
        </w:rPr>
        <w:t>and  </w:t>
      </w:r>
      <w:r>
        <w:rPr>
          <w:color w:val="231F20"/>
        </w:rPr>
        <w:t>street tree liability issues (limb drop and removals etc) relating to Council trees. In addition, given     the number of plantings in parks and streets, Council was now responsible for maintenance to a substantial tree</w:t>
      </w:r>
      <w:r>
        <w:rPr>
          <w:color w:val="231F20"/>
          <w:spacing w:val="13"/>
        </w:rPr>
        <w:t> </w:t>
      </w:r>
      <w:r>
        <w:rPr>
          <w:color w:val="231F20"/>
          <w:spacing w:val="1"/>
        </w:rPr>
        <w:t>asset.</w:t>
      </w:r>
    </w:p>
    <w:p>
      <w:pPr>
        <w:pStyle w:val="BodyText"/>
        <w:spacing w:before="4"/>
        <w:rPr>
          <w:sz w:val="26"/>
        </w:rPr>
      </w:pPr>
    </w:p>
    <w:p>
      <w:pPr>
        <w:pStyle w:val="BodyText"/>
        <w:spacing w:line="348" w:lineRule="auto" w:before="1"/>
        <w:ind w:left="3791" w:right="712"/>
      </w:pPr>
      <w:r>
        <w:rPr>
          <w:color w:val="231F20"/>
        </w:rPr>
        <w:t>This led to the preparation of the 1993 Street Tree Policy Review and Guidelines which described      the existing tree asset, its condition, issues, and a recommended future policy and procedure. This report was the first comprehensive summary of the situation within Marrickville and made an effort       to</w:t>
      </w:r>
      <w:r>
        <w:rPr>
          <w:color w:val="231F20"/>
          <w:spacing w:val="16"/>
        </w:rPr>
        <w:t> </w:t>
      </w:r>
      <w:r>
        <w:rPr>
          <w:color w:val="231F20"/>
        </w:rPr>
        <w:t>systematically</w:t>
      </w:r>
      <w:r>
        <w:rPr>
          <w:color w:val="231F20"/>
          <w:spacing w:val="16"/>
        </w:rPr>
        <w:t> </w:t>
      </w:r>
      <w:r>
        <w:rPr>
          <w:color w:val="231F20"/>
        </w:rPr>
        <w:t>review</w:t>
      </w:r>
      <w:r>
        <w:rPr>
          <w:color w:val="231F20"/>
          <w:spacing w:val="16"/>
        </w:rPr>
        <w:t> </w:t>
      </w:r>
      <w:r>
        <w:rPr>
          <w:color w:val="231F20"/>
        </w:rPr>
        <w:t>council’s</w:t>
      </w:r>
      <w:r>
        <w:rPr>
          <w:color w:val="231F20"/>
          <w:spacing w:val="16"/>
        </w:rPr>
        <w:t> </w:t>
      </w:r>
      <w:r>
        <w:rPr>
          <w:color w:val="231F20"/>
        </w:rPr>
        <w:t>practices.</w:t>
      </w:r>
      <w:r>
        <w:rPr>
          <w:color w:val="231F20"/>
          <w:spacing w:val="12"/>
        </w:rPr>
        <w:t> </w:t>
      </w:r>
      <w:r>
        <w:rPr>
          <w:color w:val="231F20"/>
        </w:rPr>
        <w:t>The</w:t>
      </w:r>
      <w:r>
        <w:rPr>
          <w:color w:val="231F20"/>
          <w:spacing w:val="16"/>
        </w:rPr>
        <w:t> </w:t>
      </w:r>
      <w:r>
        <w:rPr>
          <w:color w:val="231F20"/>
        </w:rPr>
        <w:t>recommendations</w:t>
      </w:r>
      <w:r>
        <w:rPr>
          <w:color w:val="231F20"/>
          <w:spacing w:val="16"/>
        </w:rPr>
        <w:t> </w:t>
      </w:r>
      <w:r>
        <w:rPr>
          <w:color w:val="231F20"/>
        </w:rPr>
        <w:t>while</w:t>
      </w:r>
      <w:r>
        <w:rPr>
          <w:color w:val="231F20"/>
          <w:spacing w:val="16"/>
        </w:rPr>
        <w:t> </w:t>
      </w:r>
      <w:r>
        <w:rPr>
          <w:color w:val="231F20"/>
        </w:rPr>
        <w:t>being</w:t>
      </w:r>
      <w:r>
        <w:rPr>
          <w:color w:val="231F20"/>
          <w:spacing w:val="16"/>
        </w:rPr>
        <w:t> </w:t>
      </w:r>
      <w:r>
        <w:rPr>
          <w:color w:val="231F20"/>
        </w:rPr>
        <w:t>current</w:t>
      </w:r>
      <w:r>
        <w:rPr>
          <w:color w:val="231F20"/>
          <w:spacing w:val="16"/>
        </w:rPr>
        <w:t> </w:t>
      </w:r>
      <w:r>
        <w:rPr>
          <w:color w:val="231F20"/>
        </w:rPr>
        <w:t>at</w:t>
      </w:r>
      <w:r>
        <w:rPr>
          <w:color w:val="231F20"/>
          <w:spacing w:val="16"/>
        </w:rPr>
        <w:t> </w:t>
      </w:r>
      <w:r>
        <w:rPr>
          <w:color w:val="231F20"/>
        </w:rPr>
        <w:t>that</w:t>
      </w:r>
    </w:p>
    <w:p>
      <w:pPr>
        <w:pStyle w:val="BodyText"/>
        <w:spacing w:line="348" w:lineRule="auto" w:before="2"/>
        <w:ind w:left="3791" w:right="812"/>
      </w:pPr>
      <w:r>
        <w:rPr>
          <w:color w:val="231F20"/>
        </w:rPr>
        <w:t>time are now in need of review. The recommendations concentrated on TPO administration </w:t>
      </w:r>
      <w:r>
        <w:rPr>
          <w:color w:val="231F20"/>
          <w:spacing w:val="1"/>
        </w:rPr>
        <w:t>and      </w:t>
      </w:r>
      <w:r>
        <w:rPr>
          <w:color w:val="231F20"/>
        </w:rPr>
        <w:t>the management of street trees, through the adoption by Council of the report and the 1994-1995 Street</w:t>
      </w:r>
      <w:r>
        <w:rPr>
          <w:color w:val="231F20"/>
          <w:spacing w:val="10"/>
        </w:rPr>
        <w:t> </w:t>
      </w:r>
      <w:r>
        <w:rPr>
          <w:color w:val="231F20"/>
        </w:rPr>
        <w:t>Tree</w:t>
      </w:r>
      <w:r>
        <w:rPr>
          <w:color w:val="231F20"/>
          <w:spacing w:val="13"/>
        </w:rPr>
        <w:t> </w:t>
      </w:r>
      <w:r>
        <w:rPr>
          <w:color w:val="231F20"/>
        </w:rPr>
        <w:t>implementation</w:t>
      </w:r>
      <w:r>
        <w:rPr>
          <w:color w:val="231F20"/>
          <w:spacing w:val="13"/>
        </w:rPr>
        <w:t> </w:t>
      </w:r>
      <w:r>
        <w:rPr>
          <w:color w:val="231F20"/>
        </w:rPr>
        <w:t>plan.</w:t>
      </w:r>
      <w:r>
        <w:rPr>
          <w:color w:val="231F20"/>
          <w:spacing w:val="10"/>
        </w:rPr>
        <w:t> </w:t>
      </w:r>
      <w:r>
        <w:rPr>
          <w:color w:val="231F20"/>
        </w:rPr>
        <w:t>Trees</w:t>
      </w:r>
      <w:r>
        <w:rPr>
          <w:color w:val="231F20"/>
          <w:spacing w:val="13"/>
        </w:rPr>
        <w:t> </w:t>
      </w:r>
      <w:r>
        <w:rPr>
          <w:color w:val="231F20"/>
        </w:rPr>
        <w:t>in</w:t>
      </w:r>
      <w:r>
        <w:rPr>
          <w:color w:val="231F20"/>
          <w:spacing w:val="13"/>
        </w:rPr>
        <w:t> </w:t>
      </w:r>
      <w:r>
        <w:rPr>
          <w:color w:val="231F20"/>
        </w:rPr>
        <w:t>parks,</w:t>
      </w:r>
      <w:r>
        <w:rPr>
          <w:color w:val="231F20"/>
          <w:spacing w:val="13"/>
        </w:rPr>
        <w:t> </w:t>
      </w:r>
      <w:r>
        <w:rPr>
          <w:color w:val="231F20"/>
        </w:rPr>
        <w:t>however,</w:t>
      </w:r>
      <w:r>
        <w:rPr>
          <w:color w:val="231F20"/>
          <w:spacing w:val="13"/>
        </w:rPr>
        <w:t> </w:t>
      </w:r>
      <w:r>
        <w:rPr>
          <w:color w:val="231F20"/>
        </w:rPr>
        <w:t>were</w:t>
      </w:r>
      <w:r>
        <w:rPr>
          <w:color w:val="231F20"/>
          <w:spacing w:val="13"/>
        </w:rPr>
        <w:t> </w:t>
      </w:r>
      <w:r>
        <w:rPr>
          <w:color w:val="231F20"/>
        </w:rPr>
        <w:t>generally</w:t>
      </w:r>
      <w:r>
        <w:rPr>
          <w:color w:val="231F20"/>
          <w:spacing w:val="13"/>
        </w:rPr>
        <w:t> </w:t>
      </w:r>
      <w:r>
        <w:rPr>
          <w:color w:val="231F20"/>
        </w:rPr>
        <w:t>not</w:t>
      </w:r>
      <w:r>
        <w:rPr>
          <w:color w:val="231F20"/>
          <w:spacing w:val="13"/>
        </w:rPr>
        <w:t> </w:t>
      </w:r>
      <w:r>
        <w:rPr>
          <w:color w:val="231F20"/>
        </w:rPr>
        <w:t>addressed.</w:t>
      </w:r>
    </w:p>
    <w:p>
      <w:pPr>
        <w:pStyle w:val="BodyText"/>
        <w:rPr>
          <w:sz w:val="20"/>
        </w:rPr>
      </w:pPr>
    </w:p>
    <w:p>
      <w:pPr>
        <w:pStyle w:val="BodyText"/>
        <w:rPr>
          <w:sz w:val="20"/>
        </w:rPr>
      </w:pPr>
    </w:p>
    <w:p>
      <w:pPr>
        <w:pStyle w:val="BodyText"/>
        <w:spacing w:before="142"/>
        <w:ind w:left="3791"/>
      </w:pPr>
      <w:r>
        <w:rPr>
          <w:color w:val="231F20"/>
        </w:rPr>
        <w:t>The critical recommendations of the 1993 Street Tree Policy Review and Guidelines included:</w:t>
      </w:r>
    </w:p>
    <w:p>
      <w:pPr>
        <w:pStyle w:val="BodyText"/>
        <w:spacing w:before="9" w:after="1"/>
        <w:rPr>
          <w:sz w:val="29"/>
        </w:rPr>
      </w:pPr>
    </w:p>
    <w:tbl>
      <w:tblPr>
        <w:tblW w:w="0" w:type="auto"/>
        <w:jc w:val="left"/>
        <w:tblInd w:w="378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118"/>
        <w:gridCol w:w="1417"/>
        <w:gridCol w:w="1984"/>
      </w:tblGrid>
      <w:tr>
        <w:trPr>
          <w:trHeight w:val="448" w:hRule="atLeast"/>
        </w:trPr>
        <w:tc>
          <w:tcPr>
            <w:tcW w:w="3118" w:type="dxa"/>
            <w:tcBorders>
              <w:top w:val="nil"/>
              <w:left w:val="nil"/>
            </w:tcBorders>
          </w:tcPr>
          <w:p>
            <w:pPr>
              <w:pStyle w:val="TableParagraph"/>
              <w:spacing w:before="142"/>
              <w:ind w:left="118"/>
              <w:rPr>
                <w:b/>
                <w:sz w:val="18"/>
              </w:rPr>
            </w:pPr>
            <w:r>
              <w:rPr>
                <w:b/>
                <w:color w:val="231F20"/>
                <w:sz w:val="18"/>
              </w:rPr>
              <w:t>Recommendation</w:t>
            </w:r>
          </w:p>
        </w:tc>
        <w:tc>
          <w:tcPr>
            <w:tcW w:w="1417" w:type="dxa"/>
            <w:tcBorders>
              <w:top w:val="nil"/>
            </w:tcBorders>
          </w:tcPr>
          <w:p>
            <w:pPr>
              <w:pStyle w:val="TableParagraph"/>
              <w:spacing w:before="142"/>
              <w:ind w:left="114" w:right="104"/>
              <w:jc w:val="center"/>
              <w:rPr>
                <w:b/>
                <w:sz w:val="18"/>
              </w:rPr>
            </w:pPr>
            <w:r>
              <w:rPr>
                <w:b/>
                <w:color w:val="231F20"/>
                <w:sz w:val="18"/>
              </w:rPr>
              <w:t>Status</w:t>
            </w:r>
          </w:p>
        </w:tc>
        <w:tc>
          <w:tcPr>
            <w:tcW w:w="1984" w:type="dxa"/>
            <w:tcBorders>
              <w:top w:val="nil"/>
              <w:right w:val="nil"/>
            </w:tcBorders>
          </w:tcPr>
          <w:p>
            <w:pPr>
              <w:pStyle w:val="TableParagraph"/>
              <w:spacing w:before="142"/>
              <w:ind w:left="113"/>
              <w:rPr>
                <w:b/>
                <w:sz w:val="18"/>
              </w:rPr>
            </w:pPr>
            <w:r>
              <w:rPr>
                <w:b/>
                <w:color w:val="231F20"/>
                <w:sz w:val="18"/>
              </w:rPr>
              <w:t>Comments</w:t>
            </w:r>
          </w:p>
        </w:tc>
      </w:tr>
      <w:tr>
        <w:trPr>
          <w:trHeight w:val="670" w:hRule="atLeast"/>
        </w:trPr>
        <w:tc>
          <w:tcPr>
            <w:tcW w:w="3118" w:type="dxa"/>
            <w:tcBorders>
              <w:left w:val="nil"/>
            </w:tcBorders>
          </w:tcPr>
          <w:p>
            <w:pPr>
              <w:pStyle w:val="TableParagraph"/>
              <w:spacing w:before="2"/>
              <w:rPr>
                <w:sz w:val="20"/>
              </w:rPr>
            </w:pPr>
          </w:p>
          <w:p>
            <w:pPr>
              <w:pStyle w:val="TableParagraph"/>
              <w:ind w:left="118"/>
              <w:rPr>
                <w:sz w:val="18"/>
              </w:rPr>
            </w:pPr>
            <w:r>
              <w:rPr>
                <w:color w:val="231F20"/>
                <w:sz w:val="18"/>
              </w:rPr>
              <w:t>Prepare formal guidelines</w:t>
            </w:r>
          </w:p>
        </w:tc>
        <w:tc>
          <w:tcPr>
            <w:tcW w:w="1417" w:type="dxa"/>
          </w:tcPr>
          <w:p>
            <w:pPr>
              <w:pStyle w:val="TableParagraph"/>
              <w:spacing w:before="2"/>
              <w:rPr>
                <w:sz w:val="20"/>
              </w:rPr>
            </w:pPr>
          </w:p>
          <w:p>
            <w:pPr>
              <w:pStyle w:val="TableParagraph"/>
              <w:ind w:left="114" w:right="104"/>
              <w:jc w:val="center"/>
              <w:rPr>
                <w:sz w:val="18"/>
              </w:rPr>
            </w:pPr>
            <w:r>
              <w:rPr>
                <w:color w:val="231F20"/>
                <w:sz w:val="18"/>
              </w:rPr>
              <w:t>prepared</w:t>
            </w:r>
          </w:p>
        </w:tc>
        <w:tc>
          <w:tcPr>
            <w:tcW w:w="1984" w:type="dxa"/>
            <w:tcBorders>
              <w:right w:val="nil"/>
            </w:tcBorders>
          </w:tcPr>
          <w:p>
            <w:pPr>
              <w:pStyle w:val="TableParagraph"/>
              <w:spacing w:before="2"/>
              <w:rPr>
                <w:sz w:val="20"/>
              </w:rPr>
            </w:pPr>
          </w:p>
          <w:p>
            <w:pPr>
              <w:pStyle w:val="TableParagraph"/>
              <w:ind w:left="113"/>
              <w:rPr>
                <w:sz w:val="18"/>
              </w:rPr>
            </w:pPr>
            <w:r>
              <w:rPr>
                <w:color w:val="231F20"/>
                <w:sz w:val="18"/>
              </w:rPr>
              <w:t>Partially used/ functioning</w:t>
            </w:r>
          </w:p>
        </w:tc>
      </w:tr>
      <w:tr>
        <w:trPr>
          <w:trHeight w:val="670" w:hRule="atLeast"/>
        </w:trPr>
        <w:tc>
          <w:tcPr>
            <w:tcW w:w="3118" w:type="dxa"/>
            <w:tcBorders>
              <w:left w:val="nil"/>
            </w:tcBorders>
          </w:tcPr>
          <w:p>
            <w:pPr>
              <w:pStyle w:val="TableParagraph"/>
              <w:spacing w:before="2"/>
              <w:rPr>
                <w:sz w:val="20"/>
              </w:rPr>
            </w:pPr>
          </w:p>
          <w:p>
            <w:pPr>
              <w:pStyle w:val="TableParagraph"/>
              <w:ind w:left="118"/>
              <w:rPr>
                <w:sz w:val="18"/>
              </w:rPr>
            </w:pPr>
            <w:r>
              <w:rPr>
                <w:color w:val="231F20"/>
                <w:sz w:val="18"/>
              </w:rPr>
              <w:t>Prepare education brochures etc</w:t>
            </w:r>
          </w:p>
        </w:tc>
        <w:tc>
          <w:tcPr>
            <w:tcW w:w="1417" w:type="dxa"/>
          </w:tcPr>
          <w:p>
            <w:pPr>
              <w:pStyle w:val="TableParagraph"/>
              <w:spacing w:before="2"/>
              <w:rPr>
                <w:sz w:val="20"/>
              </w:rPr>
            </w:pPr>
          </w:p>
          <w:p>
            <w:pPr>
              <w:pStyle w:val="TableParagraph"/>
              <w:ind w:left="114" w:right="104"/>
              <w:jc w:val="center"/>
              <w:rPr>
                <w:sz w:val="18"/>
              </w:rPr>
            </w:pPr>
            <w:r>
              <w:rPr>
                <w:color w:val="231F20"/>
                <w:sz w:val="18"/>
              </w:rPr>
              <w:t>partially complete</w:t>
            </w:r>
          </w:p>
        </w:tc>
        <w:tc>
          <w:tcPr>
            <w:tcW w:w="1984" w:type="dxa"/>
            <w:tcBorders>
              <w:right w:val="nil"/>
            </w:tcBorders>
          </w:tcPr>
          <w:p>
            <w:pPr>
              <w:pStyle w:val="TableParagraph"/>
              <w:spacing w:before="2"/>
              <w:rPr>
                <w:sz w:val="20"/>
              </w:rPr>
            </w:pPr>
          </w:p>
          <w:p>
            <w:pPr>
              <w:pStyle w:val="TableParagraph"/>
              <w:ind w:left="113"/>
              <w:rPr>
                <w:sz w:val="18"/>
              </w:rPr>
            </w:pPr>
            <w:r>
              <w:rPr>
                <w:color w:val="231F20"/>
                <w:sz w:val="18"/>
              </w:rPr>
              <w:t>Review required*</w:t>
            </w:r>
          </w:p>
        </w:tc>
      </w:tr>
      <w:tr>
        <w:trPr>
          <w:trHeight w:val="670" w:hRule="atLeast"/>
        </w:trPr>
        <w:tc>
          <w:tcPr>
            <w:tcW w:w="3118" w:type="dxa"/>
            <w:tcBorders>
              <w:left w:val="nil"/>
            </w:tcBorders>
          </w:tcPr>
          <w:p>
            <w:pPr>
              <w:pStyle w:val="TableParagraph"/>
              <w:spacing w:before="2"/>
              <w:rPr>
                <w:sz w:val="20"/>
              </w:rPr>
            </w:pPr>
          </w:p>
          <w:p>
            <w:pPr>
              <w:pStyle w:val="TableParagraph"/>
              <w:ind w:left="118"/>
              <w:rPr>
                <w:sz w:val="18"/>
              </w:rPr>
            </w:pPr>
            <w:r>
              <w:rPr>
                <w:color w:val="231F20"/>
                <w:sz w:val="18"/>
              </w:rPr>
              <w:t>Define standard maintenance practices</w:t>
            </w:r>
          </w:p>
        </w:tc>
        <w:tc>
          <w:tcPr>
            <w:tcW w:w="1417" w:type="dxa"/>
          </w:tcPr>
          <w:p>
            <w:pPr>
              <w:pStyle w:val="TableParagraph"/>
              <w:spacing w:before="2"/>
              <w:rPr>
                <w:sz w:val="20"/>
              </w:rPr>
            </w:pPr>
          </w:p>
          <w:p>
            <w:pPr>
              <w:pStyle w:val="TableParagraph"/>
              <w:ind w:left="114" w:right="104"/>
              <w:jc w:val="center"/>
              <w:rPr>
                <w:sz w:val="18"/>
              </w:rPr>
            </w:pPr>
            <w:r>
              <w:rPr>
                <w:color w:val="231F20"/>
                <w:sz w:val="18"/>
              </w:rPr>
              <w:t>partially complete</w:t>
            </w:r>
          </w:p>
        </w:tc>
        <w:tc>
          <w:tcPr>
            <w:tcW w:w="1984" w:type="dxa"/>
            <w:tcBorders>
              <w:right w:val="nil"/>
            </w:tcBorders>
          </w:tcPr>
          <w:p>
            <w:pPr>
              <w:pStyle w:val="TableParagraph"/>
              <w:spacing w:before="2"/>
              <w:rPr>
                <w:sz w:val="20"/>
              </w:rPr>
            </w:pPr>
          </w:p>
          <w:p>
            <w:pPr>
              <w:pStyle w:val="TableParagraph"/>
              <w:ind w:left="113"/>
              <w:rPr>
                <w:sz w:val="18"/>
              </w:rPr>
            </w:pPr>
            <w:r>
              <w:rPr>
                <w:color w:val="231F20"/>
                <w:sz w:val="18"/>
              </w:rPr>
              <w:t>Review required*</w:t>
            </w:r>
          </w:p>
        </w:tc>
      </w:tr>
      <w:tr>
        <w:trPr>
          <w:trHeight w:val="827" w:hRule="atLeast"/>
        </w:trPr>
        <w:tc>
          <w:tcPr>
            <w:tcW w:w="3118" w:type="dxa"/>
            <w:tcBorders>
              <w:left w:val="nil"/>
            </w:tcBorders>
          </w:tcPr>
          <w:p>
            <w:pPr>
              <w:pStyle w:val="TableParagraph"/>
              <w:rPr>
                <w:sz w:val="27"/>
              </w:rPr>
            </w:pPr>
          </w:p>
          <w:p>
            <w:pPr>
              <w:pStyle w:val="TableParagraph"/>
              <w:spacing w:before="1"/>
              <w:ind w:left="118"/>
              <w:rPr>
                <w:sz w:val="18"/>
              </w:rPr>
            </w:pPr>
            <w:r>
              <w:rPr>
                <w:color w:val="231F20"/>
                <w:sz w:val="18"/>
              </w:rPr>
              <w:t>Initiate basic staff qualifications</w:t>
            </w:r>
          </w:p>
        </w:tc>
        <w:tc>
          <w:tcPr>
            <w:tcW w:w="1417" w:type="dxa"/>
          </w:tcPr>
          <w:p>
            <w:pPr>
              <w:pStyle w:val="TableParagraph"/>
              <w:rPr>
                <w:sz w:val="27"/>
              </w:rPr>
            </w:pPr>
          </w:p>
          <w:p>
            <w:pPr>
              <w:pStyle w:val="TableParagraph"/>
              <w:spacing w:before="1"/>
              <w:ind w:left="114" w:right="104"/>
              <w:jc w:val="center"/>
              <w:rPr>
                <w:sz w:val="18"/>
              </w:rPr>
            </w:pPr>
            <w:r>
              <w:rPr>
                <w:color w:val="231F20"/>
                <w:sz w:val="18"/>
              </w:rPr>
              <w:t>partially complete</w:t>
            </w:r>
          </w:p>
        </w:tc>
        <w:tc>
          <w:tcPr>
            <w:tcW w:w="1984" w:type="dxa"/>
            <w:tcBorders>
              <w:right w:val="nil"/>
            </w:tcBorders>
          </w:tcPr>
          <w:p>
            <w:pPr>
              <w:pStyle w:val="TableParagraph"/>
              <w:spacing w:line="278" w:lineRule="auto" w:before="70"/>
              <w:ind w:left="113" w:right="229"/>
              <w:rPr>
                <w:sz w:val="18"/>
              </w:rPr>
            </w:pPr>
            <w:r>
              <w:rPr>
                <w:color w:val="231F20"/>
                <w:sz w:val="18"/>
              </w:rPr>
              <w:t>Those implemented are functioning / others need review</w:t>
            </w:r>
          </w:p>
        </w:tc>
      </w:tr>
      <w:tr>
        <w:trPr>
          <w:trHeight w:val="670" w:hRule="atLeast"/>
        </w:trPr>
        <w:tc>
          <w:tcPr>
            <w:tcW w:w="3118" w:type="dxa"/>
            <w:tcBorders>
              <w:left w:val="nil"/>
            </w:tcBorders>
          </w:tcPr>
          <w:p>
            <w:pPr>
              <w:pStyle w:val="TableParagraph"/>
              <w:spacing w:before="2"/>
              <w:rPr>
                <w:sz w:val="20"/>
              </w:rPr>
            </w:pPr>
          </w:p>
          <w:p>
            <w:pPr>
              <w:pStyle w:val="TableParagraph"/>
              <w:ind w:left="118"/>
              <w:rPr>
                <w:sz w:val="18"/>
              </w:rPr>
            </w:pPr>
            <w:r>
              <w:rPr>
                <w:color w:val="231F20"/>
                <w:sz w:val="18"/>
              </w:rPr>
              <w:t>Computerised Street Tree Survey</w:t>
            </w:r>
          </w:p>
        </w:tc>
        <w:tc>
          <w:tcPr>
            <w:tcW w:w="1417" w:type="dxa"/>
          </w:tcPr>
          <w:p>
            <w:pPr>
              <w:pStyle w:val="TableParagraph"/>
              <w:spacing w:before="2"/>
              <w:rPr>
                <w:sz w:val="20"/>
              </w:rPr>
            </w:pPr>
          </w:p>
          <w:p>
            <w:pPr>
              <w:pStyle w:val="TableParagraph"/>
              <w:ind w:left="114" w:right="104"/>
              <w:jc w:val="center"/>
              <w:rPr>
                <w:sz w:val="18"/>
              </w:rPr>
            </w:pPr>
            <w:r>
              <w:rPr>
                <w:color w:val="231F20"/>
                <w:sz w:val="18"/>
              </w:rPr>
              <w:t>partially complete</w:t>
            </w:r>
          </w:p>
        </w:tc>
        <w:tc>
          <w:tcPr>
            <w:tcW w:w="1984" w:type="dxa"/>
            <w:tcBorders>
              <w:right w:val="nil"/>
            </w:tcBorders>
          </w:tcPr>
          <w:p>
            <w:pPr>
              <w:pStyle w:val="TableParagraph"/>
              <w:spacing w:before="112"/>
              <w:ind w:left="113"/>
              <w:rPr>
                <w:sz w:val="18"/>
              </w:rPr>
            </w:pPr>
            <w:r>
              <w:rPr>
                <w:color w:val="231F20"/>
                <w:sz w:val="18"/>
              </w:rPr>
              <w:t>List only —</w:t>
            </w:r>
          </w:p>
          <w:p>
            <w:pPr>
              <w:pStyle w:val="TableParagraph"/>
              <w:spacing w:before="33"/>
              <w:ind w:left="113"/>
              <w:rPr>
                <w:sz w:val="18"/>
              </w:rPr>
            </w:pPr>
            <w:r>
              <w:rPr>
                <w:color w:val="231F20"/>
                <w:sz w:val="18"/>
              </w:rPr>
              <w:t>needs review / update*</w:t>
            </w:r>
          </w:p>
        </w:tc>
      </w:tr>
      <w:tr>
        <w:trPr>
          <w:trHeight w:val="670" w:hRule="atLeast"/>
        </w:trPr>
        <w:tc>
          <w:tcPr>
            <w:tcW w:w="3118" w:type="dxa"/>
            <w:tcBorders>
              <w:left w:val="nil"/>
            </w:tcBorders>
          </w:tcPr>
          <w:p>
            <w:pPr>
              <w:pStyle w:val="TableParagraph"/>
              <w:spacing w:before="112"/>
              <w:ind w:left="118"/>
              <w:rPr>
                <w:sz w:val="18"/>
              </w:rPr>
            </w:pPr>
            <w:r>
              <w:rPr>
                <w:color w:val="231F20"/>
                <w:sz w:val="18"/>
              </w:rPr>
              <w:t>Significant Tree Register for</w:t>
            </w:r>
          </w:p>
          <w:p>
            <w:pPr>
              <w:pStyle w:val="TableParagraph"/>
              <w:spacing w:before="33"/>
              <w:ind w:left="118"/>
              <w:rPr>
                <w:sz w:val="18"/>
              </w:rPr>
            </w:pPr>
            <w:r>
              <w:rPr>
                <w:color w:val="231F20"/>
                <w:sz w:val="18"/>
              </w:rPr>
              <w:t>tree valuations</w:t>
            </w:r>
          </w:p>
        </w:tc>
        <w:tc>
          <w:tcPr>
            <w:tcW w:w="1417" w:type="dxa"/>
          </w:tcPr>
          <w:p>
            <w:pPr>
              <w:pStyle w:val="TableParagraph"/>
              <w:spacing w:before="2"/>
              <w:rPr>
                <w:sz w:val="20"/>
              </w:rPr>
            </w:pPr>
          </w:p>
          <w:p>
            <w:pPr>
              <w:pStyle w:val="TableParagraph"/>
              <w:ind w:left="114" w:right="104"/>
              <w:jc w:val="center"/>
              <w:rPr>
                <w:sz w:val="18"/>
              </w:rPr>
            </w:pPr>
            <w:r>
              <w:rPr>
                <w:color w:val="231F20"/>
                <w:sz w:val="18"/>
              </w:rPr>
              <w:t>not started</w:t>
            </w:r>
          </w:p>
        </w:tc>
        <w:tc>
          <w:tcPr>
            <w:tcW w:w="1984" w:type="dxa"/>
            <w:tcBorders>
              <w:right w:val="nil"/>
            </w:tcBorders>
          </w:tcPr>
          <w:p>
            <w:pPr>
              <w:pStyle w:val="TableParagraph"/>
              <w:spacing w:before="112"/>
              <w:ind w:left="113"/>
              <w:rPr>
                <w:sz w:val="18"/>
              </w:rPr>
            </w:pPr>
            <w:r>
              <w:rPr>
                <w:color w:val="231F20"/>
                <w:sz w:val="18"/>
              </w:rPr>
              <w:t>Purpose and base criteria</w:t>
            </w:r>
          </w:p>
          <w:p>
            <w:pPr>
              <w:pStyle w:val="TableParagraph"/>
              <w:spacing w:before="33"/>
              <w:ind w:left="113"/>
              <w:rPr>
                <w:sz w:val="18"/>
              </w:rPr>
            </w:pPr>
            <w:r>
              <w:rPr>
                <w:color w:val="231F20"/>
                <w:sz w:val="18"/>
              </w:rPr>
              <w:t>need clarification</w:t>
            </w:r>
          </w:p>
        </w:tc>
      </w:tr>
      <w:tr>
        <w:trPr>
          <w:trHeight w:val="670" w:hRule="atLeast"/>
        </w:trPr>
        <w:tc>
          <w:tcPr>
            <w:tcW w:w="3118" w:type="dxa"/>
            <w:tcBorders>
              <w:left w:val="nil"/>
            </w:tcBorders>
          </w:tcPr>
          <w:p>
            <w:pPr>
              <w:pStyle w:val="TableParagraph"/>
              <w:spacing w:before="2"/>
              <w:rPr>
                <w:sz w:val="20"/>
              </w:rPr>
            </w:pPr>
          </w:p>
          <w:p>
            <w:pPr>
              <w:pStyle w:val="TableParagraph"/>
              <w:ind w:left="118"/>
              <w:rPr>
                <w:sz w:val="18"/>
              </w:rPr>
            </w:pPr>
            <w:r>
              <w:rPr>
                <w:color w:val="231F20"/>
                <w:sz w:val="18"/>
              </w:rPr>
              <w:t>Street Tree Masterplan and species list</w:t>
            </w:r>
          </w:p>
        </w:tc>
        <w:tc>
          <w:tcPr>
            <w:tcW w:w="1417" w:type="dxa"/>
          </w:tcPr>
          <w:p>
            <w:pPr>
              <w:pStyle w:val="TableParagraph"/>
              <w:spacing w:before="2"/>
              <w:rPr>
                <w:sz w:val="20"/>
              </w:rPr>
            </w:pPr>
          </w:p>
          <w:p>
            <w:pPr>
              <w:pStyle w:val="TableParagraph"/>
              <w:ind w:left="114" w:right="104"/>
              <w:jc w:val="center"/>
              <w:rPr>
                <w:sz w:val="18"/>
              </w:rPr>
            </w:pPr>
            <w:r>
              <w:rPr>
                <w:color w:val="231F20"/>
                <w:sz w:val="18"/>
              </w:rPr>
              <w:t>partially complete</w:t>
            </w:r>
          </w:p>
        </w:tc>
        <w:tc>
          <w:tcPr>
            <w:tcW w:w="1984" w:type="dxa"/>
            <w:tcBorders>
              <w:right w:val="nil"/>
            </w:tcBorders>
          </w:tcPr>
          <w:p>
            <w:pPr>
              <w:pStyle w:val="TableParagraph"/>
              <w:spacing w:before="2"/>
              <w:rPr>
                <w:sz w:val="20"/>
              </w:rPr>
            </w:pPr>
          </w:p>
          <w:p>
            <w:pPr>
              <w:pStyle w:val="TableParagraph"/>
              <w:ind w:left="113"/>
              <w:rPr>
                <w:sz w:val="18"/>
              </w:rPr>
            </w:pPr>
            <w:r>
              <w:rPr>
                <w:color w:val="231F20"/>
                <w:sz w:val="18"/>
              </w:rPr>
              <w:t>List only needs review*</w:t>
            </w:r>
          </w:p>
        </w:tc>
      </w:tr>
      <w:tr>
        <w:trPr>
          <w:trHeight w:val="670" w:hRule="atLeast"/>
        </w:trPr>
        <w:tc>
          <w:tcPr>
            <w:tcW w:w="3118" w:type="dxa"/>
            <w:tcBorders>
              <w:left w:val="nil"/>
            </w:tcBorders>
          </w:tcPr>
          <w:p>
            <w:pPr>
              <w:pStyle w:val="TableParagraph"/>
              <w:spacing w:line="278" w:lineRule="auto" w:before="112"/>
              <w:ind w:left="118" w:right="406"/>
              <w:rPr>
                <w:sz w:val="18"/>
              </w:rPr>
            </w:pPr>
            <w:r>
              <w:rPr>
                <w:color w:val="231F20"/>
                <w:sz w:val="18"/>
              </w:rPr>
              <w:t>Accelerated policy of mature street tree removals</w:t>
            </w:r>
          </w:p>
        </w:tc>
        <w:tc>
          <w:tcPr>
            <w:tcW w:w="1417" w:type="dxa"/>
          </w:tcPr>
          <w:p>
            <w:pPr>
              <w:pStyle w:val="TableParagraph"/>
              <w:spacing w:before="2"/>
              <w:rPr>
                <w:sz w:val="20"/>
              </w:rPr>
            </w:pPr>
          </w:p>
          <w:p>
            <w:pPr>
              <w:pStyle w:val="TableParagraph"/>
              <w:ind w:left="114" w:right="104"/>
              <w:jc w:val="center"/>
              <w:rPr>
                <w:sz w:val="18"/>
              </w:rPr>
            </w:pPr>
            <w:r>
              <w:rPr>
                <w:color w:val="231F20"/>
                <w:sz w:val="18"/>
              </w:rPr>
              <w:t>not started</w:t>
            </w:r>
          </w:p>
        </w:tc>
        <w:tc>
          <w:tcPr>
            <w:tcW w:w="1984" w:type="dxa"/>
            <w:tcBorders>
              <w:right w:val="nil"/>
            </w:tcBorders>
          </w:tcPr>
          <w:p>
            <w:pPr>
              <w:pStyle w:val="TableParagraph"/>
              <w:spacing w:before="2"/>
              <w:rPr>
                <w:sz w:val="20"/>
              </w:rPr>
            </w:pPr>
          </w:p>
          <w:p>
            <w:pPr>
              <w:pStyle w:val="TableParagraph"/>
              <w:ind w:left="113"/>
              <w:rPr>
                <w:sz w:val="18"/>
              </w:rPr>
            </w:pPr>
            <w:r>
              <w:rPr>
                <w:color w:val="231F20"/>
                <w:sz w:val="18"/>
              </w:rPr>
              <w:t>Action required</w:t>
            </w:r>
          </w:p>
        </w:tc>
      </w:tr>
      <w:tr>
        <w:trPr>
          <w:trHeight w:val="670" w:hRule="atLeast"/>
        </w:trPr>
        <w:tc>
          <w:tcPr>
            <w:tcW w:w="3118" w:type="dxa"/>
            <w:tcBorders>
              <w:left w:val="nil"/>
            </w:tcBorders>
          </w:tcPr>
          <w:p>
            <w:pPr>
              <w:pStyle w:val="TableParagraph"/>
              <w:spacing w:before="2"/>
              <w:rPr>
                <w:sz w:val="20"/>
              </w:rPr>
            </w:pPr>
          </w:p>
          <w:p>
            <w:pPr>
              <w:pStyle w:val="TableParagraph"/>
              <w:ind w:left="118"/>
              <w:rPr>
                <w:sz w:val="18"/>
              </w:rPr>
            </w:pPr>
            <w:r>
              <w:rPr>
                <w:color w:val="231F20"/>
                <w:sz w:val="18"/>
              </w:rPr>
              <w:t>Systematic street tree planting program</w:t>
            </w:r>
          </w:p>
        </w:tc>
        <w:tc>
          <w:tcPr>
            <w:tcW w:w="1417" w:type="dxa"/>
          </w:tcPr>
          <w:p>
            <w:pPr>
              <w:pStyle w:val="TableParagraph"/>
              <w:spacing w:before="2"/>
              <w:rPr>
                <w:sz w:val="20"/>
              </w:rPr>
            </w:pPr>
          </w:p>
          <w:p>
            <w:pPr>
              <w:pStyle w:val="TableParagraph"/>
              <w:ind w:left="114" w:right="104"/>
              <w:jc w:val="center"/>
              <w:rPr>
                <w:sz w:val="18"/>
              </w:rPr>
            </w:pPr>
            <w:r>
              <w:rPr>
                <w:color w:val="231F20"/>
                <w:sz w:val="18"/>
              </w:rPr>
              <w:t>partially complete</w:t>
            </w:r>
          </w:p>
        </w:tc>
        <w:tc>
          <w:tcPr>
            <w:tcW w:w="1984" w:type="dxa"/>
            <w:tcBorders>
              <w:right w:val="nil"/>
            </w:tcBorders>
          </w:tcPr>
          <w:p>
            <w:pPr>
              <w:pStyle w:val="TableParagraph"/>
              <w:spacing w:before="2"/>
              <w:rPr>
                <w:sz w:val="20"/>
              </w:rPr>
            </w:pPr>
          </w:p>
          <w:p>
            <w:pPr>
              <w:pStyle w:val="TableParagraph"/>
              <w:ind w:left="113"/>
              <w:rPr>
                <w:sz w:val="18"/>
              </w:rPr>
            </w:pPr>
            <w:r>
              <w:rPr>
                <w:color w:val="231F20"/>
                <w:sz w:val="18"/>
              </w:rPr>
              <w:t>Needs review*</w:t>
            </w:r>
          </w:p>
        </w:tc>
      </w:tr>
    </w:tbl>
    <w:p>
      <w:pPr>
        <w:pStyle w:val="BodyText"/>
        <w:spacing w:before="51"/>
        <w:ind w:left="2068" w:right="3875"/>
        <w:jc w:val="center"/>
      </w:pPr>
      <w:r>
        <w:rPr>
          <w:color w:val="231F20"/>
        </w:rPr>
        <w:t>* incorporated in MUFS</w:t>
      </w:r>
    </w:p>
    <w:p>
      <w:pPr>
        <w:spacing w:after="0"/>
        <w:jc w:val="center"/>
        <w:sectPr>
          <w:pgSz w:w="11910" w:h="16840"/>
          <w:pgMar w:header="0" w:footer="779" w:top="920" w:bottom="960" w:left="460" w:right="440"/>
        </w:sectPr>
      </w:pPr>
    </w:p>
    <w:p>
      <w:pPr>
        <w:tabs>
          <w:tab w:pos="2472" w:val="left" w:leader="none"/>
        </w:tabs>
        <w:spacing w:line="631" w:lineRule="exact" w:before="126"/>
        <w:ind w:left="0" w:right="124" w:firstLine="0"/>
        <w:jc w:val="right"/>
        <w:rPr>
          <w:b/>
          <w:sz w:val="56"/>
        </w:rPr>
      </w:pPr>
      <w:r>
        <w:rPr/>
        <w:pict>
          <v:shape style="position:absolute;margin-left:534.676270pt;margin-top:3.630104pt;width:19.5pt;height:55.1pt;mso-position-horizontal-relative:page;mso-position-vertical-relative:paragraph;z-index:-94384"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i/>
          <w:color w:val="231F20"/>
          <w:spacing w:val="6"/>
          <w:sz w:val="24"/>
        </w:rPr>
        <w:t>Marrickville</w:t>
      </w:r>
      <w:r>
        <w:rPr>
          <w:i/>
          <w:color w:val="231F20"/>
          <w:spacing w:val="22"/>
          <w:sz w:val="24"/>
        </w:rPr>
        <w:t> </w:t>
      </w:r>
      <w:r>
        <w:rPr>
          <w:i/>
          <w:color w:val="231F20"/>
          <w:spacing w:val="5"/>
          <w:sz w:val="24"/>
        </w:rPr>
        <w:t>Council</w:t>
        <w:tab/>
      </w:r>
      <w:r>
        <w:rPr>
          <w:b/>
          <w:color w:val="808285"/>
          <w:w w:val="95"/>
          <w:position w:val="2"/>
          <w:sz w:val="56"/>
        </w:rPr>
        <w:t>a</w:t>
      </w:r>
    </w:p>
    <w:p>
      <w:pPr>
        <w:spacing w:line="264" w:lineRule="exact" w:before="0"/>
        <w:ind w:left="0" w:right="964" w:firstLine="0"/>
        <w:jc w:val="right"/>
        <w:rPr>
          <w:b/>
          <w:i/>
          <w:sz w:val="24"/>
        </w:rPr>
      </w:pPr>
      <w:r>
        <w:rPr>
          <w:b/>
          <w:i/>
          <w:color w:val="231F20"/>
          <w:sz w:val="24"/>
        </w:rPr>
        <w:t>Urban Forest Strategy</w:t>
      </w:r>
    </w:p>
    <w:p>
      <w:pPr>
        <w:pStyle w:val="BodyText"/>
        <w:rPr>
          <w:b/>
          <w:i/>
          <w:sz w:val="20"/>
        </w:rPr>
      </w:pPr>
    </w:p>
    <w:p>
      <w:pPr>
        <w:pStyle w:val="BodyText"/>
        <w:rPr>
          <w:b/>
          <w:i/>
          <w:sz w:val="20"/>
        </w:rPr>
      </w:pPr>
    </w:p>
    <w:p>
      <w:pPr>
        <w:pStyle w:val="BodyText"/>
        <w:spacing w:before="3"/>
        <w:rPr>
          <w:b/>
          <w:i/>
          <w:sz w:val="19"/>
        </w:rPr>
      </w:pPr>
    </w:p>
    <w:p>
      <w:pPr>
        <w:pStyle w:val="BodyText"/>
        <w:spacing w:line="348" w:lineRule="auto"/>
        <w:ind w:left="387" w:right="4211"/>
      </w:pPr>
      <w:r>
        <w:rPr>
          <w:color w:val="231F20"/>
        </w:rPr>
        <w:t>Street tree planting became Council’s main focus. Between 1993 and 2003 Council’s Business Units planted and maintained approximately 9,000 new trees.</w:t>
      </w:r>
    </w:p>
    <w:p>
      <w:pPr>
        <w:pStyle w:val="BodyText"/>
        <w:spacing w:before="6"/>
        <w:rPr>
          <w:sz w:val="17"/>
        </w:rPr>
      </w:pPr>
    </w:p>
    <w:p>
      <w:pPr>
        <w:spacing w:after="0"/>
        <w:rPr>
          <w:sz w:val="17"/>
        </w:rPr>
        <w:sectPr>
          <w:pgSz w:w="11910" w:h="16840"/>
          <w:pgMar w:header="0" w:footer="779" w:top="920" w:bottom="960" w:left="460" w:right="440"/>
        </w:sectPr>
      </w:pPr>
    </w:p>
    <w:p>
      <w:pPr>
        <w:pStyle w:val="BodyText"/>
        <w:tabs>
          <w:tab w:pos="2655" w:val="left" w:leader="none"/>
        </w:tabs>
        <w:spacing w:line="348" w:lineRule="auto" w:before="100"/>
        <w:ind w:left="869" w:right="1621" w:hanging="482"/>
      </w:pPr>
      <w:r>
        <w:rPr>
          <w:color w:val="231F20"/>
        </w:rPr>
        <w:t>The species mainly  planted  since  1993  are: White</w:t>
      </w:r>
      <w:r>
        <w:rPr>
          <w:color w:val="231F20"/>
          <w:spacing w:val="13"/>
        </w:rPr>
        <w:t> </w:t>
      </w:r>
      <w:r>
        <w:rPr>
          <w:color w:val="231F20"/>
        </w:rPr>
        <w:t>Cedar</w:t>
        <w:tab/>
        <w:t>Melia</w:t>
      </w:r>
      <w:r>
        <w:rPr>
          <w:color w:val="231F20"/>
          <w:spacing w:val="37"/>
        </w:rPr>
        <w:t> </w:t>
      </w:r>
      <w:r>
        <w:rPr>
          <w:color w:val="231F20"/>
        </w:rPr>
        <w:t>azedarach</w:t>
      </w:r>
    </w:p>
    <w:p>
      <w:pPr>
        <w:pStyle w:val="BodyText"/>
        <w:tabs>
          <w:tab w:pos="2655" w:val="left" w:leader="none"/>
        </w:tabs>
        <w:spacing w:before="1"/>
        <w:ind w:left="869"/>
      </w:pPr>
      <w:r>
        <w:rPr>
          <w:color w:val="231F20"/>
        </w:rPr>
        <w:t>Blueberry</w:t>
      </w:r>
      <w:r>
        <w:rPr>
          <w:color w:val="231F20"/>
          <w:spacing w:val="6"/>
        </w:rPr>
        <w:t> </w:t>
      </w:r>
      <w:r>
        <w:rPr>
          <w:color w:val="231F20"/>
        </w:rPr>
        <w:t>Ash</w:t>
        <w:tab/>
        <w:t>Elaeocarpus</w:t>
      </w:r>
      <w:r>
        <w:rPr>
          <w:color w:val="231F20"/>
          <w:spacing w:val="8"/>
        </w:rPr>
        <w:t> </w:t>
      </w:r>
      <w:r>
        <w:rPr>
          <w:color w:val="231F20"/>
        </w:rPr>
        <w:t>reticulatus</w:t>
      </w:r>
    </w:p>
    <w:p>
      <w:pPr>
        <w:pStyle w:val="BodyText"/>
        <w:tabs>
          <w:tab w:pos="2655" w:val="left" w:leader="none"/>
        </w:tabs>
        <w:spacing w:before="94"/>
        <w:ind w:left="869"/>
      </w:pPr>
      <w:r>
        <w:rPr>
          <w:color w:val="231F20"/>
        </w:rPr>
        <w:t>Fire</w:t>
      </w:r>
      <w:r>
        <w:rPr>
          <w:color w:val="231F20"/>
          <w:spacing w:val="12"/>
        </w:rPr>
        <w:t> </w:t>
      </w:r>
      <w:r>
        <w:rPr>
          <w:color w:val="231F20"/>
        </w:rPr>
        <w:t>Wheel</w:t>
      </w:r>
      <w:r>
        <w:rPr>
          <w:color w:val="231F20"/>
          <w:spacing w:val="8"/>
        </w:rPr>
        <w:t> </w:t>
      </w:r>
      <w:r>
        <w:rPr>
          <w:color w:val="231F20"/>
        </w:rPr>
        <w:t>Tree</w:t>
        <w:tab/>
        <w:t>Stenocarpus</w:t>
      </w:r>
      <w:r>
        <w:rPr>
          <w:color w:val="231F20"/>
          <w:spacing w:val="7"/>
        </w:rPr>
        <w:t> </w:t>
      </w:r>
      <w:r>
        <w:rPr>
          <w:color w:val="231F20"/>
        </w:rPr>
        <w:t>sinuatus</w:t>
      </w:r>
    </w:p>
    <w:p>
      <w:pPr>
        <w:pStyle w:val="BodyText"/>
        <w:tabs>
          <w:tab w:pos="2655" w:val="left" w:leader="none"/>
        </w:tabs>
        <w:spacing w:before="93"/>
        <w:ind w:left="869"/>
      </w:pPr>
      <w:r>
        <w:rPr>
          <w:color w:val="231F20"/>
        </w:rPr>
        <w:t>Crepe</w:t>
      </w:r>
      <w:r>
        <w:rPr>
          <w:color w:val="231F20"/>
          <w:spacing w:val="15"/>
        </w:rPr>
        <w:t> </w:t>
      </w:r>
      <w:r>
        <w:rPr>
          <w:color w:val="231F20"/>
        </w:rPr>
        <w:t>Myrtle</w:t>
        <w:tab/>
        <w:t>Lagerstroemia indica</w:t>
      </w:r>
      <w:r>
        <w:rPr>
          <w:color w:val="231F20"/>
          <w:spacing w:val="-16"/>
        </w:rPr>
        <w:t> </w:t>
      </w:r>
      <w:r>
        <w:rPr>
          <w:color w:val="231F20"/>
        </w:rPr>
        <w:t>(cultivars)</w:t>
      </w:r>
    </w:p>
    <w:p>
      <w:pPr>
        <w:pStyle w:val="BodyText"/>
        <w:tabs>
          <w:tab w:pos="2655" w:val="left" w:leader="none"/>
        </w:tabs>
        <w:spacing w:before="94"/>
        <w:ind w:left="869"/>
      </w:pPr>
      <w:r>
        <w:rPr>
          <w:color w:val="231F20"/>
        </w:rPr>
        <w:t>Lilly</w:t>
      </w:r>
      <w:r>
        <w:rPr>
          <w:color w:val="231F20"/>
          <w:spacing w:val="13"/>
        </w:rPr>
        <w:t> </w:t>
      </w:r>
      <w:r>
        <w:rPr>
          <w:color w:val="231F20"/>
        </w:rPr>
        <w:t>Pilly</w:t>
        <w:tab/>
        <w:t>Acmena</w:t>
      </w:r>
      <w:r>
        <w:rPr>
          <w:color w:val="231F20"/>
          <w:spacing w:val="6"/>
        </w:rPr>
        <w:t> </w:t>
      </w:r>
      <w:r>
        <w:rPr>
          <w:color w:val="231F20"/>
        </w:rPr>
        <w:t>smithii</w:t>
      </w:r>
    </w:p>
    <w:p>
      <w:pPr>
        <w:pStyle w:val="BodyText"/>
        <w:tabs>
          <w:tab w:pos="2655" w:val="left" w:leader="none"/>
        </w:tabs>
        <w:spacing w:before="93"/>
        <w:ind w:left="869"/>
      </w:pPr>
      <w:r>
        <w:rPr>
          <w:color w:val="231F20"/>
        </w:rPr>
        <w:t>Ornamental</w:t>
      </w:r>
      <w:r>
        <w:rPr>
          <w:color w:val="231F20"/>
          <w:spacing w:val="17"/>
        </w:rPr>
        <w:t> </w:t>
      </w:r>
      <w:r>
        <w:rPr>
          <w:color w:val="231F20"/>
        </w:rPr>
        <w:t>Pear</w:t>
        <w:tab/>
        <w:t>Pyrus</w:t>
      </w:r>
      <w:r>
        <w:rPr>
          <w:color w:val="231F20"/>
          <w:spacing w:val="7"/>
        </w:rPr>
        <w:t> </w:t>
      </w:r>
      <w:r>
        <w:rPr>
          <w:color w:val="231F20"/>
        </w:rPr>
        <w:t>ussuriensis</w:t>
      </w:r>
    </w:p>
    <w:p>
      <w:pPr>
        <w:pStyle w:val="BodyText"/>
        <w:tabs>
          <w:tab w:pos="2655" w:val="left" w:leader="none"/>
        </w:tabs>
        <w:spacing w:before="93"/>
        <w:ind w:left="869"/>
      </w:pPr>
      <w:r>
        <w:rPr>
          <w:color w:val="231F20"/>
        </w:rPr>
        <w:t>Water</w:t>
      </w:r>
      <w:r>
        <w:rPr>
          <w:color w:val="231F20"/>
          <w:spacing w:val="10"/>
        </w:rPr>
        <w:t> </w:t>
      </w:r>
      <w:r>
        <w:rPr>
          <w:color w:val="231F20"/>
        </w:rPr>
        <w:t>Gum</w:t>
        <w:tab/>
        <w:t>Tristaniopsis</w:t>
      </w:r>
      <w:r>
        <w:rPr>
          <w:color w:val="231F20"/>
          <w:spacing w:val="7"/>
        </w:rPr>
        <w:t> </w:t>
      </w:r>
      <w:r>
        <w:rPr>
          <w:color w:val="231F20"/>
        </w:rPr>
        <w:t>laurina</w:t>
      </w:r>
    </w:p>
    <w:p>
      <w:pPr>
        <w:pStyle w:val="BodyText"/>
        <w:tabs>
          <w:tab w:pos="2655" w:val="left" w:leader="none"/>
        </w:tabs>
        <w:spacing w:before="94"/>
        <w:ind w:left="869"/>
      </w:pPr>
      <w:r>
        <w:rPr>
          <w:color w:val="231F20"/>
        </w:rPr>
        <w:t>Evergreen</w:t>
      </w:r>
      <w:r>
        <w:rPr>
          <w:color w:val="231F20"/>
          <w:spacing w:val="6"/>
        </w:rPr>
        <w:t> </w:t>
      </w:r>
      <w:r>
        <w:rPr>
          <w:color w:val="231F20"/>
        </w:rPr>
        <w:t>Ash</w:t>
        <w:tab/>
        <w:t>Fraxinus</w:t>
      </w:r>
      <w:r>
        <w:rPr>
          <w:color w:val="231F20"/>
          <w:spacing w:val="7"/>
        </w:rPr>
        <w:t> </w:t>
      </w:r>
      <w:r>
        <w:rPr>
          <w:color w:val="231F20"/>
        </w:rPr>
        <w:t>griffithii</w:t>
      </w:r>
    </w:p>
    <w:p>
      <w:pPr>
        <w:pStyle w:val="BodyText"/>
        <w:spacing w:line="278" w:lineRule="auto" w:before="33"/>
        <w:ind w:left="2655" w:right="319"/>
      </w:pPr>
      <w:r>
        <w:rPr>
          <w:color w:val="231F20"/>
        </w:rPr>
        <w:t>Robinia pseudoacacia ‘Frisia’ Michelia doltsopa</w:t>
      </w:r>
    </w:p>
    <w:p>
      <w:pPr>
        <w:pStyle w:val="BodyText"/>
        <w:tabs>
          <w:tab w:pos="2655" w:val="left" w:leader="none"/>
        </w:tabs>
        <w:spacing w:line="278" w:lineRule="auto" w:before="61"/>
        <w:ind w:left="2655" w:right="1026" w:hanging="1786"/>
      </w:pPr>
      <w:r>
        <w:rPr>
          <w:color w:val="231F20"/>
        </w:rPr>
        <w:t>Ivory</w:t>
      </w:r>
      <w:r>
        <w:rPr>
          <w:color w:val="231F20"/>
          <w:spacing w:val="12"/>
        </w:rPr>
        <w:t> </w:t>
      </w:r>
      <w:r>
        <w:rPr>
          <w:color w:val="231F20"/>
        </w:rPr>
        <w:t>Curl</w:t>
      </w:r>
      <w:r>
        <w:rPr>
          <w:color w:val="231F20"/>
          <w:spacing w:val="8"/>
        </w:rPr>
        <w:t> </w:t>
      </w:r>
      <w:r>
        <w:rPr>
          <w:color w:val="231F20"/>
        </w:rPr>
        <w:t>Tree</w:t>
        <w:tab/>
        <w:t>Buckinghamia celsissima Harpulia</w:t>
      </w:r>
      <w:r>
        <w:rPr>
          <w:color w:val="231F20"/>
          <w:spacing w:val="10"/>
        </w:rPr>
        <w:t> </w:t>
      </w:r>
      <w:r>
        <w:rPr>
          <w:color w:val="231F20"/>
        </w:rPr>
        <w:t>pendula</w:t>
      </w:r>
    </w:p>
    <w:p>
      <w:pPr>
        <w:pStyle w:val="BodyText"/>
        <w:tabs>
          <w:tab w:pos="2655" w:val="left" w:leader="none"/>
        </w:tabs>
        <w:spacing w:before="61"/>
        <w:ind w:left="869"/>
      </w:pPr>
      <w:r>
        <w:rPr>
          <w:color w:val="231F20"/>
        </w:rPr>
        <w:t>Lilly</w:t>
      </w:r>
      <w:r>
        <w:rPr>
          <w:color w:val="231F20"/>
          <w:spacing w:val="13"/>
        </w:rPr>
        <w:t> </w:t>
      </w:r>
      <w:r>
        <w:rPr>
          <w:color w:val="231F20"/>
        </w:rPr>
        <w:t>Pilly</w:t>
        <w:tab/>
        <w:t>Syzigium</w:t>
      </w:r>
      <w:r>
        <w:rPr>
          <w:color w:val="231F20"/>
          <w:spacing w:val="7"/>
        </w:rPr>
        <w:t> </w:t>
      </w:r>
      <w:r>
        <w:rPr>
          <w:color w:val="231F20"/>
        </w:rPr>
        <w:t>luehmannii</w:t>
      </w:r>
    </w:p>
    <w:p>
      <w:pPr>
        <w:pStyle w:val="BodyText"/>
        <w:tabs>
          <w:tab w:pos="2655" w:val="left" w:leader="none"/>
        </w:tabs>
        <w:spacing w:before="93"/>
        <w:ind w:left="869"/>
      </w:pPr>
      <w:r>
        <w:rPr>
          <w:color w:val="231F20"/>
        </w:rPr>
        <w:t>Lilly</w:t>
      </w:r>
      <w:r>
        <w:rPr>
          <w:color w:val="231F20"/>
          <w:spacing w:val="13"/>
        </w:rPr>
        <w:t> </w:t>
      </w:r>
      <w:r>
        <w:rPr>
          <w:color w:val="231F20"/>
        </w:rPr>
        <w:t>Pilly</w:t>
        <w:tab/>
        <w:t>Syzigium</w:t>
      </w:r>
      <w:r>
        <w:rPr>
          <w:color w:val="231F20"/>
          <w:spacing w:val="7"/>
        </w:rPr>
        <w:t> </w:t>
      </w:r>
      <w:r>
        <w:rPr>
          <w:color w:val="231F20"/>
        </w:rPr>
        <w:t>paniculata</w:t>
      </w:r>
    </w:p>
    <w:p>
      <w:pPr>
        <w:pStyle w:val="BodyText"/>
        <w:tabs>
          <w:tab w:pos="2655" w:val="left" w:leader="none"/>
        </w:tabs>
        <w:spacing w:before="94"/>
        <w:ind w:left="869"/>
      </w:pPr>
      <w:r>
        <w:rPr>
          <w:color w:val="231F20"/>
        </w:rPr>
        <w:t>Bottlebrush</w:t>
        <w:tab/>
        <w:t>Callistemon</w:t>
      </w:r>
      <w:r>
        <w:rPr>
          <w:color w:val="231F20"/>
          <w:spacing w:val="6"/>
        </w:rPr>
        <w:t> </w:t>
      </w:r>
      <w:r>
        <w:rPr>
          <w:color w:val="231F20"/>
          <w:spacing w:val="1"/>
        </w:rPr>
        <w:t>spp</w:t>
      </w:r>
    </w:p>
    <w:p>
      <w:pPr>
        <w:pStyle w:val="BodyText"/>
        <w:tabs>
          <w:tab w:pos="2655" w:val="left" w:leader="none"/>
        </w:tabs>
        <w:spacing w:line="348" w:lineRule="auto" w:before="33"/>
        <w:ind w:left="869" w:right="38" w:firstLine="1785"/>
      </w:pPr>
      <w:r>
        <w:rPr>
          <w:color w:val="231F20"/>
        </w:rPr>
        <w:t>Melaleuca bracteata ‘Revolution </w:t>
      </w:r>
      <w:r>
        <w:rPr>
          <w:color w:val="231F20"/>
          <w:spacing w:val="1"/>
        </w:rPr>
        <w:t>Green’ </w:t>
      </w:r>
      <w:r>
        <w:rPr>
          <w:color w:val="231F20"/>
        </w:rPr>
        <w:t>Ornamental</w:t>
      </w:r>
      <w:r>
        <w:rPr>
          <w:color w:val="231F20"/>
          <w:spacing w:val="20"/>
        </w:rPr>
        <w:t> </w:t>
      </w:r>
      <w:r>
        <w:rPr>
          <w:color w:val="231F20"/>
        </w:rPr>
        <w:t>Cherry</w:t>
        <w:tab/>
        <w:t>Prunus</w:t>
      </w:r>
      <w:r>
        <w:rPr>
          <w:color w:val="231F20"/>
          <w:spacing w:val="6"/>
        </w:rPr>
        <w:t> </w:t>
      </w:r>
      <w:r>
        <w:rPr>
          <w:color w:val="231F20"/>
        </w:rPr>
        <w:t>spp.</w:t>
      </w:r>
    </w:p>
    <w:p>
      <w:pPr>
        <w:pStyle w:val="BodyText"/>
        <w:tabs>
          <w:tab w:pos="2655" w:val="left" w:leader="none"/>
        </w:tabs>
        <w:spacing w:line="348" w:lineRule="auto" w:before="1"/>
        <w:ind w:left="869" w:right="895"/>
      </w:pPr>
      <w:r>
        <w:rPr>
          <w:color w:val="231F20"/>
        </w:rPr>
        <w:t>Bacon &amp;</w:t>
      </w:r>
      <w:r>
        <w:rPr>
          <w:color w:val="231F20"/>
          <w:spacing w:val="21"/>
        </w:rPr>
        <w:t> </w:t>
      </w:r>
      <w:r>
        <w:rPr>
          <w:color w:val="231F20"/>
        </w:rPr>
        <w:t>Egg</w:t>
      </w:r>
      <w:r>
        <w:rPr>
          <w:color w:val="231F20"/>
          <w:spacing w:val="7"/>
        </w:rPr>
        <w:t> </w:t>
      </w:r>
      <w:r>
        <w:rPr>
          <w:color w:val="231F20"/>
        </w:rPr>
        <w:t>Tree</w:t>
        <w:tab/>
        <w:t>Gordonia   axillaris Tuckeroo</w:t>
        <w:tab/>
        <w:t>Cupaniopsis</w:t>
      </w:r>
      <w:r>
        <w:rPr>
          <w:color w:val="231F20"/>
          <w:spacing w:val="15"/>
        </w:rPr>
        <w:t> </w:t>
      </w:r>
      <w:r>
        <w:rPr>
          <w:color w:val="231F20"/>
        </w:rPr>
        <w:t>anacardioides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pPr>
    </w:p>
    <w:p>
      <w:pPr>
        <w:spacing w:line="268" w:lineRule="auto" w:before="1"/>
        <w:ind w:left="387" w:right="0" w:firstLine="0"/>
        <w:jc w:val="left"/>
        <w:rPr>
          <w:i/>
          <w:sz w:val="14"/>
        </w:rPr>
      </w:pPr>
      <w:r>
        <w:rPr>
          <w:b/>
          <w:i/>
          <w:color w:val="231F20"/>
          <w:sz w:val="14"/>
        </w:rPr>
        <w:t>Figure 17. </w:t>
      </w:r>
      <w:r>
        <w:rPr>
          <w:i/>
          <w:color w:val="231F20"/>
          <w:sz w:val="14"/>
        </w:rPr>
        <w:t>New street tree planting along Crystal Street, </w:t>
      </w:r>
      <w:r>
        <w:rPr>
          <w:i/>
          <w:color w:val="231F20"/>
          <w:sz w:val="14"/>
        </w:rPr>
        <w:t>Marrickville</w:t>
      </w:r>
    </w:p>
    <w:p>
      <w:pPr>
        <w:spacing w:after="0" w:line="268" w:lineRule="auto"/>
        <w:jc w:val="left"/>
        <w:rPr>
          <w:sz w:val="14"/>
        </w:rPr>
        <w:sectPr>
          <w:type w:val="continuous"/>
          <w:pgSz w:w="11910" w:h="16840"/>
          <w:pgMar w:top="1360" w:bottom="280" w:left="460" w:right="440"/>
          <w:cols w:num="2" w:equalWidth="0">
            <w:col w:w="5416" w:space="1963"/>
            <w:col w:w="3631"/>
          </w:cols>
        </w:sectPr>
      </w:pPr>
    </w:p>
    <w:p>
      <w:pPr>
        <w:pStyle w:val="BodyText"/>
        <w:rPr>
          <w:i/>
          <w:sz w:val="20"/>
        </w:rPr>
      </w:pPr>
      <w:r>
        <w:rPr/>
        <w:pict>
          <v:group style="position:absolute;margin-left:42.377998pt;margin-top:28.919714pt;width:524.85pt;height:771.55pt;mso-position-horizontal-relative:page;mso-position-vertical-relative:page;z-index:-94408" coordorigin="848,578" coordsize="10497,15431">
            <v:line style="position:absolute" from="11339,2059" to="850,2059" stroked="true" strokeweight=".25pt" strokecolor="#808285">
              <v:stroke dashstyle="solid"/>
            </v:line>
            <v:line style="position:absolute" from="7942,578" to="7942,16009" stroked="true" strokeweight=".25pt" strokecolor="#808285">
              <v:stroke dashstyle="solid"/>
            </v:line>
            <v:shape style="position:absolute;left:847;top:10903;width:6804;height:4506" type="#_x0000_t75" stroked="false">
              <v:imagedata r:id="rId30" o:title=""/>
            </v:shape>
            <v:shape style="position:absolute;left:8226;top:2508;width:3119;height:2400" type="#_x0000_t75" stroked="false">
              <v:imagedata r:id="rId31" o:title=""/>
            </v:shape>
            <w10:wrap type="none"/>
          </v:group>
        </w:pic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6"/>
        </w:rPr>
      </w:pPr>
    </w:p>
    <w:p>
      <w:pPr>
        <w:spacing w:before="100"/>
        <w:ind w:left="387" w:right="0" w:firstLine="0"/>
        <w:jc w:val="left"/>
        <w:rPr>
          <w:i/>
          <w:sz w:val="14"/>
        </w:rPr>
      </w:pPr>
      <w:r>
        <w:rPr>
          <w:b/>
          <w:i/>
          <w:color w:val="231F20"/>
          <w:sz w:val="14"/>
        </w:rPr>
        <w:t>Figure 18. </w:t>
      </w:r>
      <w:r>
        <w:rPr>
          <w:i/>
          <w:color w:val="231F20"/>
          <w:sz w:val="14"/>
        </w:rPr>
        <w:t>Trees in public and private spaces</w:t>
      </w:r>
    </w:p>
    <w:p>
      <w:pPr>
        <w:spacing w:after="0"/>
        <w:jc w:val="left"/>
        <w:rPr>
          <w:sz w:val="14"/>
        </w:rPr>
        <w:sectPr>
          <w:type w:val="continuous"/>
          <w:pgSz w:w="11910" w:h="16840"/>
          <w:pgMar w:top="1360" w:bottom="280" w:left="460" w:right="440"/>
        </w:sectPr>
      </w:pPr>
    </w:p>
    <w:p>
      <w:pPr>
        <w:tabs>
          <w:tab w:pos="1347" w:val="left" w:leader="none"/>
        </w:tabs>
        <w:spacing w:line="631" w:lineRule="exact" w:before="126"/>
        <w:ind w:left="610" w:right="0" w:firstLine="0"/>
        <w:jc w:val="left"/>
        <w:rPr>
          <w:i/>
          <w:sz w:val="24"/>
        </w:rPr>
      </w:pPr>
      <w:r>
        <w:rPr/>
        <w:pict>
          <v:shape style="position:absolute;margin-left:34.015701pt;margin-top:3.630104pt;width:19.5pt;height:55.1pt;mso-position-horizontal-relative:page;mso-position-vertical-relative:paragraph;z-index:2608"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b/>
          <w:color w:val="808285"/>
          <w:position w:val="2"/>
          <w:sz w:val="56"/>
        </w:rPr>
        <w:t>a</w:t>
        <w:tab/>
      </w:r>
      <w:r>
        <w:rPr>
          <w:i/>
          <w:color w:val="231F20"/>
          <w:spacing w:val="6"/>
          <w:sz w:val="24"/>
        </w:rPr>
        <w:t>Marrickville</w:t>
      </w:r>
      <w:r>
        <w:rPr>
          <w:i/>
          <w:color w:val="231F20"/>
          <w:spacing w:val="40"/>
          <w:sz w:val="24"/>
        </w:rPr>
        <w:t> </w:t>
      </w:r>
      <w:r>
        <w:rPr>
          <w:i/>
          <w:color w:val="231F20"/>
          <w:spacing w:val="7"/>
          <w:sz w:val="24"/>
        </w:rPr>
        <w:t>Council</w:t>
      </w:r>
    </w:p>
    <w:p>
      <w:pPr>
        <w:spacing w:line="264" w:lineRule="exact" w:before="0"/>
        <w:ind w:left="966" w:right="0" w:firstLine="0"/>
        <w:jc w:val="left"/>
        <w:rPr>
          <w:b/>
          <w:i/>
          <w:sz w:val="24"/>
        </w:rPr>
      </w:pPr>
      <w:r>
        <w:rPr>
          <w:b/>
          <w:i/>
          <w:color w:val="231F20"/>
          <w:sz w:val="24"/>
        </w:rPr>
        <w:t>Urban  Forest Strategy</w:t>
      </w:r>
    </w:p>
    <w:p>
      <w:pPr>
        <w:pStyle w:val="BodyText"/>
        <w:rPr>
          <w:b/>
          <w:i/>
          <w:sz w:val="20"/>
        </w:rPr>
      </w:pPr>
    </w:p>
    <w:p>
      <w:pPr>
        <w:pStyle w:val="BodyText"/>
        <w:spacing w:before="8"/>
        <w:rPr>
          <w:b/>
          <w:i/>
          <w:sz w:val="25"/>
        </w:rPr>
      </w:pPr>
    </w:p>
    <w:p>
      <w:pPr>
        <w:spacing w:before="100"/>
        <w:ind w:left="3791" w:right="0" w:firstLine="0"/>
        <w:jc w:val="left"/>
        <w:rPr>
          <w:b/>
          <w:sz w:val="24"/>
        </w:rPr>
      </w:pPr>
      <w:r>
        <w:rPr>
          <w:b/>
          <w:color w:val="231F20"/>
          <w:sz w:val="24"/>
        </w:rPr>
        <w:t>Current Situation</w:t>
      </w:r>
    </w:p>
    <w:p>
      <w:pPr>
        <w:pStyle w:val="BodyText"/>
        <w:spacing w:before="2"/>
        <w:rPr>
          <w:b/>
          <w:sz w:val="33"/>
        </w:rPr>
      </w:pPr>
    </w:p>
    <w:p>
      <w:pPr>
        <w:pStyle w:val="BodyText"/>
        <w:spacing w:line="348" w:lineRule="auto"/>
        <w:ind w:left="3791" w:right="479"/>
      </w:pPr>
      <w:r>
        <w:rPr>
          <w:color w:val="231F20"/>
        </w:rPr>
        <w:t>The </w:t>
      </w:r>
      <w:r>
        <w:rPr>
          <w:color w:val="231F20"/>
          <w:spacing w:val="-3"/>
        </w:rPr>
        <w:t>contemporary Marrickville skyline </w:t>
      </w:r>
      <w:r>
        <w:rPr>
          <w:color w:val="231F20"/>
        </w:rPr>
        <w:t>is a </w:t>
      </w:r>
      <w:r>
        <w:rPr>
          <w:color w:val="231F20"/>
          <w:spacing w:val="-3"/>
        </w:rPr>
        <w:t>mosaic </w:t>
      </w:r>
      <w:r>
        <w:rPr>
          <w:color w:val="231F20"/>
        </w:rPr>
        <w:t>of </w:t>
      </w:r>
      <w:r>
        <w:rPr>
          <w:color w:val="231F20"/>
          <w:spacing w:val="-3"/>
        </w:rPr>
        <w:t>industrial, residential </w:t>
      </w:r>
      <w:r>
        <w:rPr>
          <w:color w:val="231F20"/>
        </w:rPr>
        <w:t>and </w:t>
      </w:r>
      <w:r>
        <w:rPr>
          <w:color w:val="231F20"/>
          <w:spacing w:val="-3"/>
        </w:rPr>
        <w:t>commercial buildings integrated with </w:t>
      </w:r>
      <w:r>
        <w:rPr>
          <w:color w:val="231F20"/>
        </w:rPr>
        <w:t>the </w:t>
      </w:r>
      <w:r>
        <w:rPr>
          <w:color w:val="231F20"/>
          <w:spacing w:val="-3"/>
        </w:rPr>
        <w:t>urban forest. </w:t>
      </w:r>
      <w:r>
        <w:rPr>
          <w:color w:val="231F20"/>
        </w:rPr>
        <w:t>It is </w:t>
      </w:r>
      <w:r>
        <w:rPr>
          <w:color w:val="231F20"/>
          <w:spacing w:val="-3"/>
        </w:rPr>
        <w:t>punctuated </w:t>
      </w:r>
      <w:r>
        <w:rPr>
          <w:color w:val="231F20"/>
        </w:rPr>
        <w:t>by </w:t>
      </w:r>
      <w:r>
        <w:rPr>
          <w:color w:val="231F20"/>
          <w:spacing w:val="-3"/>
        </w:rPr>
        <w:t>isolated large mature ‘sentinel’ conifers, palms and flowering trees which </w:t>
      </w:r>
      <w:r>
        <w:rPr>
          <w:color w:val="231F20"/>
        </w:rPr>
        <w:t>are </w:t>
      </w:r>
      <w:r>
        <w:rPr>
          <w:color w:val="231F20"/>
          <w:spacing w:val="-3"/>
        </w:rPr>
        <w:t>mostly located </w:t>
      </w:r>
      <w:r>
        <w:rPr>
          <w:color w:val="231F20"/>
        </w:rPr>
        <w:t>on </w:t>
      </w:r>
      <w:r>
        <w:rPr>
          <w:color w:val="231F20"/>
          <w:spacing w:val="-3"/>
        </w:rPr>
        <w:t>private </w:t>
      </w:r>
      <w:r>
        <w:rPr>
          <w:color w:val="231F20"/>
          <w:spacing w:val="-4"/>
        </w:rPr>
        <w:t>property. </w:t>
      </w:r>
      <w:r>
        <w:rPr>
          <w:color w:val="231F20"/>
          <w:spacing w:val="-3"/>
        </w:rPr>
        <w:t>Most streets within </w:t>
      </w:r>
      <w:r>
        <w:rPr>
          <w:color w:val="231F20"/>
        </w:rPr>
        <w:t>the LGA </w:t>
      </w:r>
      <w:r>
        <w:rPr>
          <w:color w:val="231F20"/>
          <w:spacing w:val="-3"/>
        </w:rPr>
        <w:t>include </w:t>
      </w:r>
      <w:r>
        <w:rPr>
          <w:color w:val="231F20"/>
        </w:rPr>
        <w:t>a </w:t>
      </w:r>
      <w:r>
        <w:rPr>
          <w:color w:val="231F20"/>
          <w:spacing w:val="-3"/>
        </w:rPr>
        <w:t>high proportion </w:t>
      </w:r>
      <w:r>
        <w:rPr>
          <w:color w:val="231F20"/>
        </w:rPr>
        <w:t>of </w:t>
      </w:r>
      <w:r>
        <w:rPr>
          <w:color w:val="231F20"/>
          <w:spacing w:val="-3"/>
        </w:rPr>
        <w:t>mature trees which make </w:t>
      </w:r>
      <w:r>
        <w:rPr>
          <w:color w:val="231F20"/>
        </w:rPr>
        <w:t>a </w:t>
      </w:r>
      <w:r>
        <w:rPr>
          <w:color w:val="231F20"/>
          <w:spacing w:val="-3"/>
        </w:rPr>
        <w:t>substantial contribution </w:t>
      </w:r>
      <w:r>
        <w:rPr>
          <w:color w:val="231F20"/>
        </w:rPr>
        <w:t>to </w:t>
      </w:r>
      <w:r>
        <w:rPr>
          <w:color w:val="231F20"/>
          <w:spacing w:val="-3"/>
        </w:rPr>
        <w:t>landscape </w:t>
      </w:r>
      <w:r>
        <w:rPr>
          <w:color w:val="231F20"/>
          <w:spacing w:val="-4"/>
        </w:rPr>
        <w:t>amenity. Accordingly, </w:t>
      </w:r>
      <w:r>
        <w:rPr>
          <w:color w:val="231F20"/>
          <w:spacing w:val="-3"/>
        </w:rPr>
        <w:t>there is significant community concern over </w:t>
      </w:r>
      <w:r>
        <w:rPr>
          <w:color w:val="231F20"/>
        </w:rPr>
        <w:t>any </w:t>
      </w:r>
      <w:r>
        <w:rPr>
          <w:color w:val="231F20"/>
          <w:spacing w:val="-3"/>
        </w:rPr>
        <w:t>potential tree loss.</w:t>
      </w:r>
    </w:p>
    <w:p>
      <w:pPr>
        <w:pStyle w:val="BodyText"/>
        <w:spacing w:before="5"/>
        <w:rPr>
          <w:sz w:val="21"/>
        </w:rPr>
      </w:pPr>
    </w:p>
    <w:p>
      <w:pPr>
        <w:pStyle w:val="Heading2"/>
        <w:spacing w:before="0"/>
        <w:ind w:left="3770" w:right="3875"/>
        <w:jc w:val="center"/>
      </w:pPr>
      <w:r>
        <w:rPr>
          <w:color w:val="231F20"/>
        </w:rPr>
        <w:t>Council Owned and Managed Trees</w:t>
      </w:r>
    </w:p>
    <w:p>
      <w:pPr>
        <w:pStyle w:val="BodyText"/>
        <w:spacing w:before="7"/>
        <w:rPr>
          <w:b/>
          <w:sz w:val="31"/>
        </w:rPr>
      </w:pPr>
    </w:p>
    <w:p>
      <w:pPr>
        <w:pStyle w:val="Heading4"/>
        <w:ind w:left="1040" w:right="3875"/>
        <w:jc w:val="center"/>
        <w:rPr>
          <w:i/>
        </w:rPr>
      </w:pPr>
      <w:r>
        <w:rPr>
          <w:i/>
          <w:color w:val="231F20"/>
        </w:rPr>
        <w:t>Streets</w:t>
      </w:r>
    </w:p>
    <w:p>
      <w:pPr>
        <w:pStyle w:val="BodyText"/>
        <w:spacing w:before="2"/>
        <w:rPr>
          <w:b/>
          <w:i/>
          <w:sz w:val="25"/>
        </w:rPr>
      </w:pPr>
    </w:p>
    <w:p>
      <w:pPr>
        <w:spacing w:after="0"/>
        <w:rPr>
          <w:sz w:val="25"/>
        </w:rPr>
        <w:sectPr>
          <w:pgSz w:w="11910" w:h="16840"/>
          <w:pgMar w:header="0" w:footer="779" w:top="920" w:bottom="960" w:left="460" w:right="440"/>
        </w:sectPr>
      </w:pPr>
    </w:p>
    <w:p>
      <w:pPr>
        <w:pStyle w:val="BodyText"/>
        <w:rPr>
          <w:b/>
          <w:i/>
          <w:sz w:val="16"/>
        </w:rPr>
      </w:pPr>
      <w:r>
        <w:rPr/>
        <w:pict>
          <v:group style="position:absolute;margin-left:22.676901pt;margin-top:28.346714pt;width:530.1pt;height:772.1pt;mso-position-horizontal-relative:page;mso-position-vertical-relative:page;z-index:-94360"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v:shape style="position:absolute;left:566;top:2508;width:3119;height:3900" type="#_x0000_t75" stroked="false">
              <v:imagedata r:id="rId32" o:title=""/>
            </v:shape>
            <w10:wrap type="none"/>
          </v:group>
        </w:pict>
      </w:r>
    </w:p>
    <w:p>
      <w:pPr>
        <w:pStyle w:val="BodyText"/>
        <w:spacing w:before="2"/>
        <w:rPr>
          <w:b/>
          <w:i/>
          <w:sz w:val="19"/>
        </w:rPr>
      </w:pPr>
    </w:p>
    <w:p>
      <w:pPr>
        <w:spacing w:line="268" w:lineRule="auto" w:before="0"/>
        <w:ind w:left="106" w:right="0" w:firstLine="0"/>
        <w:jc w:val="left"/>
        <w:rPr>
          <w:i/>
          <w:sz w:val="14"/>
        </w:rPr>
      </w:pPr>
      <w:r>
        <w:rPr>
          <w:b/>
          <w:i/>
          <w:color w:val="231F20"/>
          <w:sz w:val="14"/>
        </w:rPr>
        <w:t>Figure 19. </w:t>
      </w:r>
      <w:r>
        <w:rPr>
          <w:i/>
          <w:color w:val="231F20"/>
          <w:sz w:val="14"/>
        </w:rPr>
        <w:t>Ficus microcarpa var ‘Hilli’ at Collyer </w:t>
      </w:r>
      <w:r>
        <w:rPr>
          <w:i/>
          <w:color w:val="231F20"/>
          <w:sz w:val="14"/>
        </w:rPr>
        <w:t>Playground, Newtown</w:t>
      </w:r>
    </w:p>
    <w:p>
      <w:pPr>
        <w:pStyle w:val="BodyText"/>
        <w:spacing w:line="348" w:lineRule="auto" w:before="100"/>
        <w:ind w:left="106" w:right="785"/>
      </w:pPr>
      <w:r>
        <w:rPr/>
        <w:br w:type="column"/>
      </w:r>
      <w:r>
        <w:rPr>
          <w:color w:val="231F20"/>
        </w:rPr>
        <w:t>Currently there are in the order of 20,000 street trees in Marrickville, although since 1972, Council     has planted approximately 42,500 street trees. This indicates the substantial attrition of trees </w:t>
      </w:r>
      <w:r>
        <w:rPr>
          <w:color w:val="231F20"/>
          <w:spacing w:val="1"/>
        </w:rPr>
        <w:t>and      </w:t>
      </w:r>
      <w:r>
        <w:rPr>
          <w:color w:val="231F20"/>
        </w:rPr>
        <w:t>the continual fluctuation in the total number of trees given a potentially high mortality rate of young trees,</w:t>
      </w:r>
      <w:r>
        <w:rPr>
          <w:color w:val="231F20"/>
          <w:spacing w:val="10"/>
        </w:rPr>
        <w:t> </w:t>
      </w:r>
      <w:r>
        <w:rPr>
          <w:color w:val="231F20"/>
        </w:rPr>
        <w:t>generally</w:t>
      </w:r>
      <w:r>
        <w:rPr>
          <w:color w:val="231F20"/>
          <w:spacing w:val="10"/>
        </w:rPr>
        <w:t> </w:t>
      </w:r>
      <w:r>
        <w:rPr>
          <w:color w:val="231F20"/>
        </w:rPr>
        <w:t>short</w:t>
      </w:r>
      <w:r>
        <w:rPr>
          <w:color w:val="231F20"/>
          <w:spacing w:val="10"/>
        </w:rPr>
        <w:t> </w:t>
      </w:r>
      <w:r>
        <w:rPr>
          <w:color w:val="231F20"/>
        </w:rPr>
        <w:t>life</w:t>
      </w:r>
      <w:r>
        <w:rPr>
          <w:color w:val="231F20"/>
          <w:spacing w:val="10"/>
        </w:rPr>
        <w:t> </w:t>
      </w:r>
      <w:r>
        <w:rPr>
          <w:color w:val="231F20"/>
        </w:rPr>
        <w:t>spans,</w:t>
      </w:r>
      <w:r>
        <w:rPr>
          <w:color w:val="231F20"/>
          <w:spacing w:val="10"/>
        </w:rPr>
        <w:t> </w:t>
      </w:r>
      <w:r>
        <w:rPr>
          <w:color w:val="231F20"/>
        </w:rPr>
        <w:t>and</w:t>
      </w:r>
      <w:r>
        <w:rPr>
          <w:color w:val="231F20"/>
          <w:spacing w:val="10"/>
        </w:rPr>
        <w:t> </w:t>
      </w:r>
      <w:r>
        <w:rPr>
          <w:color w:val="231F20"/>
        </w:rPr>
        <w:t>substantially</w:t>
      </w:r>
      <w:r>
        <w:rPr>
          <w:color w:val="231F20"/>
          <w:spacing w:val="10"/>
        </w:rPr>
        <w:t> </w:t>
      </w:r>
      <w:r>
        <w:rPr>
          <w:color w:val="231F20"/>
        </w:rPr>
        <w:t>difficult</w:t>
      </w:r>
      <w:r>
        <w:rPr>
          <w:color w:val="231F20"/>
          <w:spacing w:val="10"/>
        </w:rPr>
        <w:t> </w:t>
      </w:r>
      <w:r>
        <w:rPr>
          <w:color w:val="231F20"/>
        </w:rPr>
        <w:t>growing</w:t>
      </w:r>
      <w:r>
        <w:rPr>
          <w:color w:val="231F20"/>
          <w:spacing w:val="10"/>
        </w:rPr>
        <w:t> </w:t>
      </w:r>
      <w:r>
        <w:rPr>
          <w:color w:val="231F20"/>
        </w:rPr>
        <w:t>conditions.</w:t>
      </w:r>
    </w:p>
    <w:p>
      <w:pPr>
        <w:pStyle w:val="BodyText"/>
        <w:spacing w:before="4"/>
        <w:rPr>
          <w:sz w:val="26"/>
        </w:rPr>
      </w:pPr>
    </w:p>
    <w:p>
      <w:pPr>
        <w:pStyle w:val="BodyText"/>
        <w:spacing w:line="348" w:lineRule="auto"/>
        <w:ind w:left="106" w:right="785"/>
      </w:pPr>
      <w:r>
        <w:rPr>
          <w:color w:val="231F20"/>
        </w:rPr>
        <w:t>Given the heavily urbanised nature of some suburbs (and the incremental nature of tree planting generally), not all areas or streets have trees. Tree planting in some industrial areas and narrow residential streets will remain problematic until traffic and pedestrian management issues are resolved.</w:t>
      </w:r>
    </w:p>
    <w:p>
      <w:pPr>
        <w:pStyle w:val="BodyText"/>
        <w:spacing w:before="3"/>
        <w:rPr>
          <w:sz w:val="26"/>
        </w:rPr>
      </w:pPr>
    </w:p>
    <w:p>
      <w:pPr>
        <w:pStyle w:val="BodyText"/>
        <w:spacing w:line="348" w:lineRule="auto"/>
        <w:ind w:left="106" w:right="605"/>
      </w:pPr>
      <w:r>
        <w:rPr>
          <w:color w:val="231F20"/>
        </w:rPr>
        <w:t>Many monoculture avenues were planted in  the  period  following  1972. A substantial  number  of these are relatively short lived trees or  large  shrub  species  planted  under  power-lines  and  in narrow streets. </w:t>
      </w:r>
      <w:r>
        <w:rPr>
          <w:color w:val="231F20"/>
          <w:spacing w:val="-3"/>
        </w:rPr>
        <w:t>Today, </w:t>
      </w:r>
      <w:r>
        <w:rPr>
          <w:color w:val="231F20"/>
        </w:rPr>
        <w:t>much of this plant stock is of a similar age and is reaching the end of its life expectancy. In the stressful urban environment this may be shorter than otherwise expected and is heralded by the increased occurrence of disease and pest attack of the plant stock. Also, the naïve selection and planting of inappropriate native species during this period (eg. Eucalyptus nicholli, Eucalyptus scoparia) has led to many of these trees requiring frequent extensive maintenance or removal.</w:t>
      </w:r>
    </w:p>
    <w:p>
      <w:pPr>
        <w:pStyle w:val="BodyText"/>
        <w:spacing w:before="6"/>
        <w:rPr>
          <w:sz w:val="26"/>
        </w:rPr>
      </w:pPr>
    </w:p>
    <w:p>
      <w:pPr>
        <w:pStyle w:val="BodyText"/>
        <w:spacing w:line="348" w:lineRule="auto"/>
        <w:ind w:left="106" w:right="605"/>
      </w:pPr>
      <w:r>
        <w:rPr>
          <w:color w:val="231F20"/>
        </w:rPr>
        <w:t>Other species planted prior to 1972 are over mature or unhealthy  due  to  poor  management practices and stressful urban conditions. Consequently, there is a need for a prioritised, systematic tree removal and replacement strategy. This will have immediate visual, environmental, and management implications. A summarised view of the existing street tree asset is illustrated   graphically in Figure</w:t>
      </w:r>
      <w:r>
        <w:rPr>
          <w:color w:val="231F20"/>
          <w:spacing w:val="15"/>
        </w:rPr>
        <w:t> </w:t>
      </w:r>
      <w:r>
        <w:rPr>
          <w:color w:val="231F20"/>
        </w:rPr>
        <w:t>15.</w:t>
      </w:r>
    </w:p>
    <w:p>
      <w:pPr>
        <w:spacing w:after="0" w:line="348" w:lineRule="auto"/>
        <w:sectPr>
          <w:type w:val="continuous"/>
          <w:pgSz w:w="11910" w:h="16840"/>
          <w:pgMar w:top="1360" w:bottom="280" w:left="460" w:right="440"/>
          <w:cols w:num="2" w:equalWidth="0">
            <w:col w:w="2706" w:space="979"/>
            <w:col w:w="7325"/>
          </w:cols>
        </w:sectPr>
      </w:pPr>
    </w:p>
    <w:p>
      <w:pPr>
        <w:tabs>
          <w:tab w:pos="2472" w:val="left" w:leader="none"/>
        </w:tabs>
        <w:spacing w:line="631" w:lineRule="exact" w:before="126"/>
        <w:ind w:left="0" w:right="124" w:firstLine="0"/>
        <w:jc w:val="right"/>
        <w:rPr>
          <w:b/>
          <w:sz w:val="56"/>
        </w:rPr>
      </w:pPr>
      <w:r>
        <w:rPr/>
        <w:pict>
          <v:shape style="position:absolute;margin-left:534.676270pt;margin-top:3.630104pt;width:19.5pt;height:55.1pt;mso-position-horizontal-relative:page;mso-position-vertical-relative:paragraph;z-index:-94288"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i/>
          <w:color w:val="231F20"/>
          <w:spacing w:val="6"/>
          <w:sz w:val="24"/>
        </w:rPr>
        <w:t>Marrickville</w:t>
      </w:r>
      <w:r>
        <w:rPr>
          <w:i/>
          <w:color w:val="231F20"/>
          <w:spacing w:val="22"/>
          <w:sz w:val="24"/>
        </w:rPr>
        <w:t> </w:t>
      </w:r>
      <w:r>
        <w:rPr>
          <w:i/>
          <w:color w:val="231F20"/>
          <w:spacing w:val="5"/>
          <w:sz w:val="24"/>
        </w:rPr>
        <w:t>Council</w:t>
        <w:tab/>
      </w:r>
      <w:r>
        <w:rPr>
          <w:b/>
          <w:color w:val="808285"/>
          <w:w w:val="95"/>
          <w:position w:val="2"/>
          <w:sz w:val="56"/>
        </w:rPr>
        <w:t>a</w:t>
      </w:r>
    </w:p>
    <w:p>
      <w:pPr>
        <w:spacing w:line="264" w:lineRule="exact" w:before="0"/>
        <w:ind w:left="0" w:right="964" w:firstLine="0"/>
        <w:jc w:val="right"/>
        <w:rPr>
          <w:b/>
          <w:i/>
          <w:sz w:val="24"/>
        </w:rPr>
      </w:pPr>
      <w:r>
        <w:rPr>
          <w:b/>
          <w:i/>
          <w:color w:val="231F20"/>
          <w:sz w:val="24"/>
        </w:rPr>
        <w:t>Urban Forest Strategy</w:t>
      </w:r>
    </w:p>
    <w:p>
      <w:pPr>
        <w:pStyle w:val="BodyText"/>
        <w:rPr>
          <w:b/>
          <w:i/>
          <w:sz w:val="20"/>
        </w:rPr>
      </w:pPr>
    </w:p>
    <w:p>
      <w:pPr>
        <w:pStyle w:val="BodyText"/>
        <w:spacing w:before="11"/>
        <w:rPr>
          <w:b/>
          <w:i/>
          <w:sz w:val="28"/>
        </w:rPr>
      </w:pPr>
    </w:p>
    <w:p>
      <w:pPr>
        <w:pStyle w:val="Heading4"/>
        <w:spacing w:before="100"/>
        <w:rPr>
          <w:i/>
        </w:rPr>
      </w:pPr>
      <w:r>
        <w:rPr>
          <w:i/>
          <w:color w:val="231F20"/>
        </w:rPr>
        <w:t>Parks</w:t>
      </w:r>
    </w:p>
    <w:p>
      <w:pPr>
        <w:pStyle w:val="BodyText"/>
        <w:rPr>
          <w:b/>
          <w:i/>
          <w:sz w:val="22"/>
        </w:rPr>
      </w:pPr>
    </w:p>
    <w:p>
      <w:pPr>
        <w:pStyle w:val="BodyText"/>
        <w:spacing w:line="348" w:lineRule="auto" w:before="137"/>
        <w:ind w:left="390" w:right="4087"/>
      </w:pPr>
      <w:r>
        <w:rPr>
          <w:color w:val="231F20"/>
        </w:rPr>
        <w:t>Although it is estimated that there are between 6,000 and 10,000 trees in Marrickville’s parks, reserves and natural areas, the exact number and condition of these trees is unknown.</w:t>
      </w:r>
    </w:p>
    <w:p>
      <w:pPr>
        <w:pStyle w:val="BodyText"/>
        <w:spacing w:before="2"/>
        <w:rPr>
          <w:sz w:val="26"/>
        </w:rPr>
      </w:pPr>
    </w:p>
    <w:p>
      <w:pPr>
        <w:pStyle w:val="BodyText"/>
        <w:spacing w:line="348" w:lineRule="auto"/>
        <w:ind w:left="390" w:right="4087"/>
      </w:pPr>
      <w:r>
        <w:rPr>
          <w:color w:val="231F20"/>
        </w:rPr>
        <w:t>Trees in parks generally have longer life spans and better growing conditions, consequently tree health and condition is usually more stable.</w:t>
      </w:r>
    </w:p>
    <w:p>
      <w:pPr>
        <w:pStyle w:val="BodyText"/>
        <w:spacing w:before="3"/>
        <w:rPr>
          <w:sz w:val="26"/>
        </w:rPr>
      </w:pPr>
    </w:p>
    <w:p>
      <w:pPr>
        <w:pStyle w:val="BodyText"/>
        <w:spacing w:line="348" w:lineRule="auto"/>
        <w:ind w:left="390" w:right="3845"/>
      </w:pPr>
      <w:r>
        <w:rPr>
          <w:color w:val="231F20"/>
        </w:rPr>
        <w:t>Losses are currently not great, although a number of Marrickville’s parks are now at an age where    tree senescence is common. For example, a Ficus rubiginosa (Port Jackson Fig) in Enmore Park         is in serious decline and the group of Ficus microcarpa var ‘Hilli’ (Hills Weeping Fig) at Collyer Playground, Newtown, had a safe life expectancy of approximately 4-7 years (removed September </w:t>
      </w:r>
      <w:r>
        <w:rPr>
          <w:color w:val="231F20"/>
          <w:spacing w:val="1"/>
        </w:rPr>
        <w:t>2005).</w:t>
      </w:r>
    </w:p>
    <w:p>
      <w:pPr>
        <w:pStyle w:val="BodyText"/>
        <w:spacing w:before="4"/>
        <w:rPr>
          <w:sz w:val="26"/>
        </w:rPr>
      </w:pPr>
    </w:p>
    <w:p>
      <w:pPr>
        <w:pStyle w:val="BodyText"/>
        <w:spacing w:line="348" w:lineRule="auto"/>
        <w:ind w:left="390" w:right="4117"/>
      </w:pPr>
      <w:r>
        <w:rPr>
          <w:color w:val="231F20"/>
        </w:rPr>
        <w:t>Sustainable vegetation management for Council’s parks is currently not  addressed. </w:t>
      </w:r>
      <w:r>
        <w:rPr>
          <w:color w:val="231F20"/>
          <w:spacing w:val="-7"/>
        </w:rPr>
        <w:t>To  </w:t>
      </w:r>
      <w:r>
        <w:rPr>
          <w:color w:val="231F20"/>
        </w:rPr>
        <w:t>date Marrickville Council has had no implementation strategy for the management of Council’s trees in parks. Plans of Management do not necessarily survey all trees or provide condition reports. </w:t>
      </w:r>
      <w:r>
        <w:rPr>
          <w:color w:val="231F20"/>
          <w:spacing w:val="1"/>
        </w:rPr>
        <w:t>The </w:t>
      </w:r>
      <w:r>
        <w:rPr>
          <w:color w:val="231F20"/>
        </w:rPr>
        <w:t>reliance has been on annual tree maintenance to monitor risks, and park or playground facility upgrades to provide new planting. The Marrickville Urban Forest Strategy 2010 proposes to </w:t>
      </w:r>
      <w:r>
        <w:rPr>
          <w:color w:val="231F20"/>
          <w:spacing w:val="1"/>
        </w:rPr>
        <w:t>define      </w:t>
      </w:r>
      <w:r>
        <w:rPr>
          <w:color w:val="231F20"/>
        </w:rPr>
        <w:t>a strategy for the management of significant trees in Council’s parks. The strategy  has  been developed</w:t>
      </w:r>
      <w:r>
        <w:rPr>
          <w:color w:val="231F20"/>
          <w:spacing w:val="16"/>
        </w:rPr>
        <w:t> </w:t>
      </w:r>
      <w:r>
        <w:rPr>
          <w:color w:val="231F20"/>
        </w:rPr>
        <w:t>concurrently</w:t>
      </w:r>
      <w:r>
        <w:rPr>
          <w:color w:val="231F20"/>
          <w:spacing w:val="16"/>
        </w:rPr>
        <w:t> </w:t>
      </w:r>
      <w:r>
        <w:rPr>
          <w:color w:val="231F20"/>
        </w:rPr>
        <w:t>with</w:t>
      </w:r>
      <w:r>
        <w:rPr>
          <w:color w:val="231F20"/>
          <w:spacing w:val="16"/>
        </w:rPr>
        <w:t> </w:t>
      </w:r>
      <w:r>
        <w:rPr>
          <w:color w:val="231F20"/>
        </w:rPr>
        <w:t>the</w:t>
      </w:r>
      <w:r>
        <w:rPr>
          <w:color w:val="231F20"/>
          <w:spacing w:val="16"/>
        </w:rPr>
        <w:t> </w:t>
      </w:r>
      <w:r>
        <w:rPr>
          <w:color w:val="231F20"/>
        </w:rPr>
        <w:t>Parks</w:t>
      </w:r>
      <w:r>
        <w:rPr>
          <w:color w:val="231F20"/>
          <w:spacing w:val="16"/>
        </w:rPr>
        <w:t> </w:t>
      </w:r>
      <w:r>
        <w:rPr>
          <w:color w:val="231F20"/>
        </w:rPr>
        <w:t>Biodiversity</w:t>
      </w:r>
      <w:r>
        <w:rPr>
          <w:color w:val="231F20"/>
          <w:spacing w:val="16"/>
        </w:rPr>
        <w:t> </w:t>
      </w:r>
      <w:r>
        <w:rPr>
          <w:color w:val="231F20"/>
        </w:rPr>
        <w:t>Strategy</w:t>
      </w:r>
      <w:r>
        <w:rPr>
          <w:color w:val="231F20"/>
          <w:spacing w:val="16"/>
        </w:rPr>
        <w:t> </w:t>
      </w:r>
      <w:r>
        <w:rPr>
          <w:color w:val="231F20"/>
        </w:rPr>
        <w:t>(currently</w:t>
      </w:r>
      <w:r>
        <w:rPr>
          <w:color w:val="231F20"/>
          <w:spacing w:val="16"/>
        </w:rPr>
        <w:t> </w:t>
      </w:r>
      <w:r>
        <w:rPr>
          <w:color w:val="231F20"/>
        </w:rPr>
        <w:t>under</w:t>
      </w:r>
      <w:r>
        <w:rPr>
          <w:color w:val="231F20"/>
          <w:spacing w:val="16"/>
        </w:rPr>
        <w:t> </w:t>
      </w:r>
      <w:r>
        <w:rPr>
          <w:color w:val="231F20"/>
        </w:rPr>
        <w:t>development).</w:t>
      </w:r>
    </w:p>
    <w:p>
      <w:pPr>
        <w:pStyle w:val="BodyText"/>
        <w:spacing w:before="10"/>
        <w:rPr>
          <w:sz w:val="24"/>
        </w:rPr>
      </w:pPr>
    </w:p>
    <w:p>
      <w:pPr>
        <w:pStyle w:val="Heading4"/>
        <w:rPr>
          <w:i/>
        </w:rPr>
      </w:pPr>
      <w:r>
        <w:rPr>
          <w:i/>
          <w:color w:val="231F20"/>
        </w:rPr>
        <w:t>Private Trees</w:t>
      </w:r>
    </w:p>
    <w:p>
      <w:pPr>
        <w:pStyle w:val="BodyText"/>
        <w:rPr>
          <w:b/>
          <w:i/>
          <w:sz w:val="22"/>
        </w:rPr>
      </w:pPr>
    </w:p>
    <w:p>
      <w:pPr>
        <w:pStyle w:val="BodyText"/>
        <w:spacing w:line="348" w:lineRule="auto" w:before="136"/>
        <w:ind w:left="390" w:right="4087"/>
      </w:pPr>
      <w:r>
        <w:rPr>
          <w:color w:val="231F20"/>
          <w:spacing w:val="-3"/>
        </w:rPr>
        <w:t>Today, </w:t>
      </w:r>
      <w:r>
        <w:rPr>
          <w:color w:val="231F20"/>
        </w:rPr>
        <w:t>Marrickville has blocks of ‘green space’ with mature canopy trees located </w:t>
      </w:r>
      <w:r>
        <w:rPr>
          <w:color w:val="231F20"/>
          <w:spacing w:val="1"/>
        </w:rPr>
        <w:t>consistently </w:t>
      </w:r>
      <w:r>
        <w:rPr>
          <w:color w:val="231F20"/>
        </w:rPr>
        <w:t>throughout area (although these are often located on private land such as churches and schools). These sites form a substantial portion of the overall percentage tree canopy of Marrickville </w:t>
      </w:r>
      <w:r>
        <w:rPr>
          <w:color w:val="231F20"/>
          <w:spacing w:val="1"/>
        </w:rPr>
        <w:t>and </w:t>
      </w:r>
      <w:r>
        <w:rPr>
          <w:color w:val="231F20"/>
        </w:rPr>
        <w:t>contribute substantially to the visual character of Marrickville  and  provide  vegetation  relief  as viewed from the public</w:t>
      </w:r>
      <w:r>
        <w:rPr>
          <w:color w:val="231F20"/>
          <w:spacing w:val="30"/>
        </w:rPr>
        <w:t> </w:t>
      </w:r>
      <w:r>
        <w:rPr>
          <w:color w:val="231F20"/>
          <w:spacing w:val="1"/>
        </w:rPr>
        <w:t>streetscape.</w:t>
      </w:r>
    </w:p>
    <w:p>
      <w:pPr>
        <w:pStyle w:val="BodyText"/>
        <w:spacing w:before="4"/>
        <w:rPr>
          <w:sz w:val="26"/>
        </w:rPr>
      </w:pPr>
    </w:p>
    <w:p>
      <w:pPr>
        <w:pStyle w:val="BodyText"/>
        <w:spacing w:line="348" w:lineRule="auto" w:before="1"/>
        <w:ind w:left="390" w:right="4087"/>
      </w:pPr>
      <w:r>
        <w:rPr>
          <w:color w:val="231F20"/>
        </w:rPr>
        <w:t>A point of great concern to Council is the potential decrease in large  canopy  trees  on  private property and the change to the character of Marrickville’s built environment should the large scale trees on private property be removed over the next 15 to 20 years without a formal mechanism of replacement.</w:t>
      </w:r>
      <w:r>
        <w:rPr>
          <w:color w:val="231F20"/>
          <w:spacing w:val="5"/>
        </w:rPr>
        <w:t> </w:t>
      </w:r>
      <w:r>
        <w:rPr>
          <w:color w:val="231F20"/>
        </w:rPr>
        <w:t>The</w:t>
      </w:r>
      <w:r>
        <w:rPr>
          <w:color w:val="231F20"/>
          <w:spacing w:val="8"/>
        </w:rPr>
        <w:t> </w:t>
      </w:r>
      <w:r>
        <w:rPr>
          <w:color w:val="231F20"/>
        </w:rPr>
        <w:t>loss</w:t>
      </w:r>
      <w:r>
        <w:rPr>
          <w:color w:val="231F20"/>
          <w:spacing w:val="8"/>
        </w:rPr>
        <w:t> </w:t>
      </w:r>
      <w:r>
        <w:rPr>
          <w:color w:val="231F20"/>
        </w:rPr>
        <w:t>of</w:t>
      </w:r>
      <w:r>
        <w:rPr>
          <w:color w:val="231F20"/>
          <w:spacing w:val="8"/>
        </w:rPr>
        <w:t> </w:t>
      </w:r>
      <w:r>
        <w:rPr>
          <w:color w:val="231F20"/>
        </w:rPr>
        <w:t>trees</w:t>
      </w:r>
      <w:r>
        <w:rPr>
          <w:color w:val="231F20"/>
          <w:spacing w:val="8"/>
        </w:rPr>
        <w:t> </w:t>
      </w:r>
      <w:r>
        <w:rPr>
          <w:color w:val="231F20"/>
        </w:rPr>
        <w:t>in</w:t>
      </w:r>
      <w:r>
        <w:rPr>
          <w:color w:val="231F20"/>
          <w:spacing w:val="8"/>
        </w:rPr>
        <w:t> </w:t>
      </w:r>
      <w:r>
        <w:rPr>
          <w:color w:val="231F20"/>
        </w:rPr>
        <w:t>private</w:t>
      </w:r>
      <w:r>
        <w:rPr>
          <w:color w:val="231F20"/>
          <w:spacing w:val="8"/>
        </w:rPr>
        <w:t> </w:t>
      </w:r>
      <w:r>
        <w:rPr>
          <w:color w:val="231F20"/>
        </w:rPr>
        <w:t>gardens</w:t>
      </w:r>
      <w:r>
        <w:rPr>
          <w:color w:val="231F20"/>
          <w:spacing w:val="8"/>
        </w:rPr>
        <w:t> </w:t>
      </w:r>
      <w:r>
        <w:rPr>
          <w:color w:val="231F20"/>
        </w:rPr>
        <w:t>is</w:t>
      </w:r>
      <w:r>
        <w:rPr>
          <w:color w:val="231F20"/>
          <w:spacing w:val="8"/>
        </w:rPr>
        <w:t> </w:t>
      </w:r>
      <w:r>
        <w:rPr>
          <w:color w:val="231F20"/>
        </w:rPr>
        <w:t>commonly</w:t>
      </w:r>
      <w:r>
        <w:rPr>
          <w:color w:val="231F20"/>
          <w:spacing w:val="8"/>
        </w:rPr>
        <w:t> </w:t>
      </w:r>
      <w:r>
        <w:rPr>
          <w:color w:val="231F20"/>
        </w:rPr>
        <w:t>due</w:t>
      </w:r>
      <w:r>
        <w:rPr>
          <w:color w:val="231F20"/>
          <w:spacing w:val="8"/>
        </w:rPr>
        <w:t> </w:t>
      </w:r>
      <w:r>
        <w:rPr>
          <w:color w:val="231F20"/>
          <w:spacing w:val="1"/>
        </w:rPr>
        <w:t>to:</w:t>
      </w:r>
    </w:p>
    <w:p>
      <w:pPr>
        <w:pStyle w:val="BodyText"/>
        <w:spacing w:before="6"/>
        <w:rPr>
          <w:sz w:val="16"/>
        </w:rPr>
      </w:pPr>
    </w:p>
    <w:p>
      <w:pPr>
        <w:spacing w:after="0"/>
        <w:rPr>
          <w:sz w:val="16"/>
        </w:rPr>
        <w:sectPr>
          <w:pgSz w:w="11910" w:h="16840"/>
          <w:pgMar w:header="0" w:footer="779" w:top="920" w:bottom="960" w:left="460" w:right="440"/>
        </w:sectPr>
      </w:pPr>
    </w:p>
    <w:p>
      <w:pPr>
        <w:pStyle w:val="ListParagraph"/>
        <w:numPr>
          <w:ilvl w:val="0"/>
          <w:numId w:val="27"/>
        </w:numPr>
        <w:tabs>
          <w:tab w:pos="873" w:val="left" w:leader="none"/>
        </w:tabs>
        <w:spacing w:line="240" w:lineRule="auto" w:before="100" w:after="0"/>
        <w:ind w:left="872" w:right="0" w:hanging="142"/>
        <w:jc w:val="left"/>
        <w:rPr>
          <w:sz w:val="18"/>
        </w:rPr>
      </w:pPr>
      <w:r>
        <w:rPr/>
        <w:pict>
          <v:group style="position:absolute;margin-left:42.5201pt;margin-top:28.919714pt;width:524.450pt;height:771.55pt;mso-position-horizontal-relative:page;mso-position-vertical-relative:page;z-index:-94312"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v:shape style="position:absolute;left:8220;top:2520;width:2909;height:11577" type="#_x0000_t75" stroked="false">
              <v:imagedata r:id="rId33" o:title=""/>
            </v:shape>
            <w10:wrap type="none"/>
          </v:group>
        </w:pict>
      </w:r>
      <w:r>
        <w:rPr>
          <w:color w:val="231F20"/>
          <w:sz w:val="18"/>
        </w:rPr>
        <w:t>direct</w:t>
      </w:r>
      <w:r>
        <w:rPr>
          <w:color w:val="231F20"/>
          <w:spacing w:val="8"/>
          <w:sz w:val="18"/>
        </w:rPr>
        <w:t> </w:t>
      </w:r>
      <w:r>
        <w:rPr>
          <w:color w:val="231F20"/>
          <w:sz w:val="18"/>
        </w:rPr>
        <w:t>removal:</w:t>
      </w:r>
      <w:r>
        <w:rPr>
          <w:color w:val="231F20"/>
          <w:spacing w:val="8"/>
          <w:sz w:val="18"/>
        </w:rPr>
        <w:t> </w:t>
      </w:r>
      <w:r>
        <w:rPr>
          <w:color w:val="231F20"/>
          <w:sz w:val="18"/>
        </w:rPr>
        <w:t>to</w:t>
      </w:r>
      <w:r>
        <w:rPr>
          <w:color w:val="231F20"/>
          <w:spacing w:val="8"/>
          <w:sz w:val="18"/>
        </w:rPr>
        <w:t> </w:t>
      </w:r>
      <w:r>
        <w:rPr>
          <w:color w:val="231F20"/>
          <w:sz w:val="18"/>
        </w:rPr>
        <w:t>make</w:t>
      </w:r>
      <w:r>
        <w:rPr>
          <w:color w:val="231F20"/>
          <w:spacing w:val="8"/>
          <w:sz w:val="18"/>
        </w:rPr>
        <w:t> </w:t>
      </w:r>
      <w:r>
        <w:rPr>
          <w:color w:val="231F20"/>
          <w:sz w:val="18"/>
        </w:rPr>
        <w:t>way</w:t>
      </w:r>
      <w:r>
        <w:rPr>
          <w:color w:val="231F20"/>
          <w:spacing w:val="8"/>
          <w:sz w:val="18"/>
        </w:rPr>
        <w:t> </w:t>
      </w:r>
      <w:r>
        <w:rPr>
          <w:color w:val="231F20"/>
          <w:sz w:val="18"/>
        </w:rPr>
        <w:t>for</w:t>
      </w:r>
      <w:r>
        <w:rPr>
          <w:color w:val="231F20"/>
          <w:spacing w:val="8"/>
          <w:sz w:val="18"/>
        </w:rPr>
        <w:t> </w:t>
      </w:r>
      <w:r>
        <w:rPr>
          <w:color w:val="231F20"/>
          <w:sz w:val="18"/>
        </w:rPr>
        <w:t>increased</w:t>
      </w:r>
      <w:r>
        <w:rPr>
          <w:color w:val="231F20"/>
          <w:spacing w:val="8"/>
          <w:sz w:val="18"/>
        </w:rPr>
        <w:t> </w:t>
      </w:r>
      <w:r>
        <w:rPr>
          <w:color w:val="231F20"/>
          <w:sz w:val="18"/>
        </w:rPr>
        <w:t>urban</w:t>
      </w:r>
      <w:r>
        <w:rPr>
          <w:color w:val="231F20"/>
          <w:spacing w:val="8"/>
          <w:sz w:val="18"/>
        </w:rPr>
        <w:t> </w:t>
      </w:r>
      <w:r>
        <w:rPr>
          <w:color w:val="231F20"/>
          <w:sz w:val="18"/>
        </w:rPr>
        <w:t>consolidation,</w:t>
      </w:r>
    </w:p>
    <w:p>
      <w:pPr>
        <w:pStyle w:val="ListParagraph"/>
        <w:numPr>
          <w:ilvl w:val="0"/>
          <w:numId w:val="27"/>
        </w:numPr>
        <w:tabs>
          <w:tab w:pos="873" w:val="left" w:leader="none"/>
        </w:tabs>
        <w:spacing w:line="278" w:lineRule="auto" w:before="93" w:after="0"/>
        <w:ind w:left="872" w:right="153" w:hanging="142"/>
        <w:jc w:val="left"/>
        <w:rPr>
          <w:sz w:val="18"/>
        </w:rPr>
      </w:pPr>
      <w:r>
        <w:rPr>
          <w:color w:val="231F20"/>
          <w:sz w:val="18"/>
        </w:rPr>
        <w:t>incremental loss: as urban areas become more dense over time, existing trees </w:t>
      </w:r>
      <w:r>
        <w:rPr>
          <w:color w:val="231F20"/>
          <w:spacing w:val="1"/>
          <w:sz w:val="18"/>
        </w:rPr>
        <w:t>become </w:t>
      </w:r>
      <w:r>
        <w:rPr>
          <w:color w:val="231F20"/>
          <w:sz w:val="18"/>
        </w:rPr>
        <w:t>stressed</w:t>
      </w:r>
      <w:r>
        <w:rPr>
          <w:color w:val="231F20"/>
          <w:spacing w:val="10"/>
          <w:sz w:val="18"/>
        </w:rPr>
        <w:t> </w:t>
      </w:r>
      <w:r>
        <w:rPr>
          <w:color w:val="231F20"/>
          <w:sz w:val="18"/>
        </w:rPr>
        <w:t>and</w:t>
      </w:r>
      <w:r>
        <w:rPr>
          <w:color w:val="231F20"/>
          <w:spacing w:val="10"/>
          <w:sz w:val="18"/>
        </w:rPr>
        <w:t> </w:t>
      </w:r>
      <w:r>
        <w:rPr>
          <w:color w:val="231F20"/>
          <w:sz w:val="18"/>
        </w:rPr>
        <w:t>are</w:t>
      </w:r>
      <w:r>
        <w:rPr>
          <w:color w:val="231F20"/>
          <w:spacing w:val="10"/>
          <w:sz w:val="18"/>
        </w:rPr>
        <w:t> </w:t>
      </w:r>
      <w:r>
        <w:rPr>
          <w:color w:val="231F20"/>
          <w:sz w:val="18"/>
        </w:rPr>
        <w:t>removed</w:t>
      </w:r>
      <w:r>
        <w:rPr>
          <w:color w:val="231F20"/>
          <w:spacing w:val="10"/>
          <w:sz w:val="18"/>
        </w:rPr>
        <w:t> </w:t>
      </w:r>
      <w:r>
        <w:rPr>
          <w:color w:val="231F20"/>
          <w:sz w:val="18"/>
        </w:rPr>
        <w:t>on</w:t>
      </w:r>
      <w:r>
        <w:rPr>
          <w:color w:val="231F20"/>
          <w:spacing w:val="10"/>
          <w:sz w:val="18"/>
        </w:rPr>
        <w:t> </w:t>
      </w:r>
      <w:r>
        <w:rPr>
          <w:color w:val="231F20"/>
          <w:sz w:val="18"/>
        </w:rPr>
        <w:t>application</w:t>
      </w:r>
      <w:r>
        <w:rPr>
          <w:color w:val="231F20"/>
          <w:spacing w:val="10"/>
          <w:sz w:val="18"/>
        </w:rPr>
        <w:t> </w:t>
      </w:r>
      <w:r>
        <w:rPr>
          <w:color w:val="231F20"/>
          <w:sz w:val="18"/>
        </w:rPr>
        <w:t>due</w:t>
      </w:r>
      <w:r>
        <w:rPr>
          <w:color w:val="231F20"/>
          <w:spacing w:val="10"/>
          <w:sz w:val="18"/>
        </w:rPr>
        <w:t> </w:t>
      </w:r>
      <w:r>
        <w:rPr>
          <w:color w:val="231F20"/>
          <w:sz w:val="18"/>
        </w:rPr>
        <w:t>to</w:t>
      </w:r>
      <w:r>
        <w:rPr>
          <w:color w:val="231F20"/>
          <w:spacing w:val="10"/>
          <w:sz w:val="18"/>
        </w:rPr>
        <w:t> </w:t>
      </w:r>
      <w:r>
        <w:rPr>
          <w:color w:val="231F20"/>
          <w:sz w:val="18"/>
        </w:rPr>
        <w:t>risk</w:t>
      </w:r>
      <w:r>
        <w:rPr>
          <w:color w:val="231F20"/>
          <w:spacing w:val="10"/>
          <w:sz w:val="18"/>
        </w:rPr>
        <w:t> </w:t>
      </w:r>
      <w:r>
        <w:rPr>
          <w:color w:val="231F20"/>
          <w:sz w:val="18"/>
        </w:rPr>
        <w:t>management,</w:t>
      </w:r>
    </w:p>
    <w:p>
      <w:pPr>
        <w:pStyle w:val="ListParagraph"/>
        <w:numPr>
          <w:ilvl w:val="0"/>
          <w:numId w:val="27"/>
        </w:numPr>
        <w:tabs>
          <w:tab w:pos="873" w:val="left" w:leader="none"/>
        </w:tabs>
        <w:spacing w:line="278" w:lineRule="auto" w:before="60" w:after="0"/>
        <w:ind w:left="872" w:right="44" w:hanging="142"/>
        <w:jc w:val="left"/>
        <w:rPr>
          <w:sz w:val="18"/>
        </w:rPr>
      </w:pPr>
      <w:r>
        <w:rPr>
          <w:color w:val="231F20"/>
          <w:sz w:val="18"/>
        </w:rPr>
        <w:t>senescence and removal: due to old age and death, there is a natural attrition of the tree population,</w:t>
      </w:r>
      <w:r>
        <w:rPr>
          <w:color w:val="231F20"/>
          <w:spacing w:val="6"/>
          <w:sz w:val="18"/>
        </w:rPr>
        <w:t> </w:t>
      </w:r>
      <w:r>
        <w:rPr>
          <w:color w:val="231F20"/>
          <w:spacing w:val="1"/>
          <w:sz w:val="18"/>
        </w:rPr>
        <w:t>and</w:t>
      </w:r>
    </w:p>
    <w:p>
      <w:pPr>
        <w:pStyle w:val="ListParagraph"/>
        <w:numPr>
          <w:ilvl w:val="0"/>
          <w:numId w:val="27"/>
        </w:numPr>
        <w:tabs>
          <w:tab w:pos="873" w:val="left" w:leader="none"/>
        </w:tabs>
        <w:spacing w:line="240" w:lineRule="auto" w:before="61" w:after="0"/>
        <w:ind w:left="872" w:right="0" w:hanging="142"/>
        <w:jc w:val="left"/>
        <w:rPr>
          <w:sz w:val="18"/>
        </w:rPr>
      </w:pPr>
      <w:r>
        <w:rPr>
          <w:color w:val="231F20"/>
          <w:sz w:val="18"/>
        </w:rPr>
        <w:t>use of inappropriate planting by residents, which are a potential future maintenance</w:t>
      </w:r>
      <w:r>
        <w:rPr>
          <w:color w:val="231F20"/>
          <w:spacing w:val="10"/>
          <w:sz w:val="18"/>
        </w:rPr>
        <w:t> </w:t>
      </w:r>
      <w:r>
        <w:rPr>
          <w:color w:val="231F20"/>
          <w:sz w:val="18"/>
        </w:rPr>
        <w:t>problem.</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
        <w:rPr>
          <w:sz w:val="19"/>
        </w:rPr>
      </w:pPr>
    </w:p>
    <w:p>
      <w:pPr>
        <w:spacing w:before="0"/>
        <w:ind w:left="709" w:right="0" w:firstLine="0"/>
        <w:jc w:val="left"/>
        <w:rPr>
          <w:i/>
          <w:sz w:val="14"/>
        </w:rPr>
      </w:pPr>
      <w:r>
        <w:rPr>
          <w:b/>
          <w:i/>
          <w:color w:val="231F20"/>
          <w:sz w:val="14"/>
        </w:rPr>
        <w:t>Figure 20. </w:t>
      </w:r>
      <w:r>
        <w:rPr>
          <w:i/>
          <w:color w:val="231F20"/>
          <w:sz w:val="14"/>
        </w:rPr>
        <w:t>Aerial photo of Day Street, Marrickville</w:t>
      </w:r>
    </w:p>
    <w:p>
      <w:pPr>
        <w:spacing w:after="0"/>
        <w:jc w:val="left"/>
        <w:rPr>
          <w:sz w:val="14"/>
        </w:rPr>
        <w:sectPr>
          <w:type w:val="continuous"/>
          <w:pgSz w:w="11910" w:h="16840"/>
          <w:pgMar w:top="1360" w:bottom="280" w:left="460" w:right="440"/>
          <w:cols w:num="2" w:equalWidth="0">
            <w:col w:w="7011" w:space="40"/>
            <w:col w:w="3959"/>
          </w:cols>
        </w:sectPr>
      </w:pPr>
    </w:p>
    <w:p>
      <w:pPr>
        <w:pStyle w:val="ListParagraph"/>
        <w:numPr>
          <w:ilvl w:val="0"/>
          <w:numId w:val="28"/>
        </w:numPr>
        <w:tabs>
          <w:tab w:pos="1347" w:val="left" w:leader="none"/>
          <w:tab w:pos="1348" w:val="left" w:leader="none"/>
        </w:tabs>
        <w:spacing w:line="631" w:lineRule="exact" w:before="126" w:after="0"/>
        <w:ind w:left="1347" w:right="0" w:hanging="737"/>
        <w:jc w:val="left"/>
        <w:rPr>
          <w:i/>
          <w:sz w:val="24"/>
        </w:rPr>
      </w:pPr>
      <w:r>
        <w:rPr/>
        <w:pict>
          <v:group style="position:absolute;margin-left:22.676901pt;margin-top:28.346714pt;width:530.1pt;height:772.1pt;mso-position-horizontal-relative:page;mso-position-vertical-relative:page;z-index:-94264"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w10:wrap type="none"/>
          </v:group>
        </w:pict>
      </w:r>
      <w:r>
        <w:rPr/>
        <w:pict>
          <v:shape style="position:absolute;margin-left:34.015701pt;margin-top:3.630104pt;width:19.5pt;height:55.1pt;mso-position-horizontal-relative:page;mso-position-vertical-relative:paragraph;z-index:2704"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i/>
          <w:color w:val="231F20"/>
          <w:spacing w:val="6"/>
          <w:sz w:val="24"/>
        </w:rPr>
        <w:t>Marrickville</w:t>
      </w:r>
      <w:r>
        <w:rPr>
          <w:i/>
          <w:color w:val="231F20"/>
          <w:spacing w:val="18"/>
          <w:sz w:val="24"/>
        </w:rPr>
        <w:t> </w:t>
      </w:r>
      <w:r>
        <w:rPr>
          <w:i/>
          <w:color w:val="231F20"/>
          <w:spacing w:val="7"/>
          <w:sz w:val="24"/>
        </w:rPr>
        <w:t>Council</w:t>
      </w:r>
    </w:p>
    <w:p>
      <w:pPr>
        <w:spacing w:line="264" w:lineRule="exact" w:before="0"/>
        <w:ind w:left="966" w:right="0" w:firstLine="0"/>
        <w:jc w:val="left"/>
        <w:rPr>
          <w:b/>
          <w:i/>
          <w:sz w:val="24"/>
        </w:rPr>
      </w:pPr>
      <w:r>
        <w:rPr>
          <w:b/>
          <w:i/>
          <w:color w:val="231F20"/>
          <w:sz w:val="24"/>
        </w:rPr>
        <w:t>Urban Forest Strategy</w:t>
      </w:r>
    </w:p>
    <w:p>
      <w:pPr>
        <w:pStyle w:val="BodyText"/>
        <w:rPr>
          <w:b/>
          <w:i/>
          <w:sz w:val="20"/>
        </w:rPr>
      </w:pPr>
    </w:p>
    <w:p>
      <w:pPr>
        <w:pStyle w:val="BodyText"/>
        <w:rPr>
          <w:b/>
          <w:i/>
          <w:sz w:val="20"/>
        </w:rPr>
      </w:pPr>
    </w:p>
    <w:p>
      <w:pPr>
        <w:pStyle w:val="BodyText"/>
        <w:spacing w:before="3"/>
        <w:rPr>
          <w:b/>
          <w:i/>
          <w:sz w:val="19"/>
        </w:rPr>
      </w:pPr>
    </w:p>
    <w:p>
      <w:pPr>
        <w:pStyle w:val="BodyText"/>
        <w:spacing w:line="348" w:lineRule="auto"/>
        <w:ind w:left="3791" w:right="546"/>
      </w:pPr>
      <w:r>
        <w:rPr>
          <w:color w:val="231F20"/>
        </w:rPr>
        <w:t>Urban consolidation is limiting opportunity to plant trees on private land, in time the overall canopy cover of the LGA will be significantly reduced. To compensate for this change Council believes there needs to be a strategy in place to promote the maintaining and/ or replenish large tree canopy cover.</w:t>
      </w:r>
    </w:p>
    <w:p>
      <w:pPr>
        <w:pStyle w:val="BodyText"/>
        <w:spacing w:before="3"/>
        <w:rPr>
          <w:sz w:val="26"/>
        </w:rPr>
      </w:pPr>
    </w:p>
    <w:p>
      <w:pPr>
        <w:pStyle w:val="BodyText"/>
        <w:spacing w:line="348" w:lineRule="auto" w:before="1"/>
        <w:ind w:left="3791" w:right="424"/>
        <w:jc w:val="both"/>
      </w:pPr>
      <w:r>
        <w:rPr>
          <w:color w:val="231F20"/>
        </w:rPr>
        <w:t>Small and medium sized trees (often exotic) are commonly planted as a requirement of residential developments, and by private citizens in existing gardens these trees contribute little to the canopy cover of the LGA.</w:t>
      </w:r>
    </w:p>
    <w:p>
      <w:pPr>
        <w:pStyle w:val="BodyText"/>
        <w:spacing w:before="3"/>
        <w:rPr>
          <w:sz w:val="26"/>
        </w:rPr>
      </w:pPr>
    </w:p>
    <w:p>
      <w:pPr>
        <w:pStyle w:val="BodyText"/>
        <w:spacing w:line="348" w:lineRule="auto"/>
        <w:ind w:left="3791" w:right="934"/>
      </w:pPr>
      <w:r>
        <w:rPr>
          <w:color w:val="231F20"/>
          <w:spacing w:val="1"/>
        </w:rPr>
        <w:t>Marrickville Council </w:t>
      </w:r>
      <w:r>
        <w:rPr>
          <w:color w:val="231F20"/>
        </w:rPr>
        <w:t>is </w:t>
      </w:r>
      <w:r>
        <w:rPr>
          <w:color w:val="231F20"/>
          <w:spacing w:val="1"/>
        </w:rPr>
        <w:t>currently undertaking </w:t>
      </w:r>
      <w:r>
        <w:rPr>
          <w:color w:val="231F20"/>
        </w:rPr>
        <w:t>a </w:t>
      </w:r>
      <w:r>
        <w:rPr>
          <w:color w:val="231F20"/>
          <w:spacing w:val="1"/>
        </w:rPr>
        <w:t>major review </w:t>
      </w:r>
      <w:r>
        <w:rPr>
          <w:color w:val="231F20"/>
        </w:rPr>
        <w:t>of its </w:t>
      </w:r>
      <w:r>
        <w:rPr>
          <w:color w:val="231F20"/>
          <w:spacing w:val="1"/>
        </w:rPr>
        <w:t>planning controls </w:t>
      </w:r>
      <w:r>
        <w:rPr>
          <w:color w:val="231F20"/>
        </w:rPr>
        <w:t>as a </w:t>
      </w:r>
      <w:r>
        <w:rPr>
          <w:color w:val="231F20"/>
          <w:spacing w:val="1"/>
        </w:rPr>
        <w:t>response </w:t>
      </w:r>
      <w:r>
        <w:rPr>
          <w:color w:val="231F20"/>
        </w:rPr>
        <w:t>to  the  NSW  </w:t>
      </w:r>
      <w:r>
        <w:rPr>
          <w:color w:val="231F20"/>
          <w:spacing w:val="1"/>
        </w:rPr>
        <w:t>State Government’s planning reform program. </w:t>
      </w:r>
      <w:r>
        <w:rPr>
          <w:color w:val="231F20"/>
        </w:rPr>
        <w:t>The  </w:t>
      </w:r>
      <w:r>
        <w:rPr>
          <w:color w:val="231F20"/>
          <w:spacing w:val="1"/>
        </w:rPr>
        <w:t>review will </w:t>
      </w:r>
      <w:r>
        <w:rPr>
          <w:color w:val="231F20"/>
          <w:spacing w:val="2"/>
        </w:rPr>
        <w:t>result   </w:t>
      </w:r>
      <w:r>
        <w:rPr>
          <w:color w:val="231F20"/>
        </w:rPr>
        <w:t>in the </w:t>
      </w:r>
      <w:r>
        <w:rPr>
          <w:color w:val="231F20"/>
          <w:spacing w:val="1"/>
        </w:rPr>
        <w:t>preparation </w:t>
      </w:r>
      <w:r>
        <w:rPr>
          <w:color w:val="231F20"/>
        </w:rPr>
        <w:t>of a new </w:t>
      </w:r>
      <w:r>
        <w:rPr>
          <w:color w:val="231F20"/>
          <w:spacing w:val="1"/>
        </w:rPr>
        <w:t>comprehensive local environmental plan (LEP) </w:t>
      </w:r>
      <w:r>
        <w:rPr>
          <w:color w:val="231F20"/>
        </w:rPr>
        <w:t>and </w:t>
      </w:r>
      <w:r>
        <w:rPr>
          <w:color w:val="231F20"/>
          <w:spacing w:val="2"/>
        </w:rPr>
        <w:t>consolidated </w:t>
      </w:r>
      <w:r>
        <w:rPr>
          <w:color w:val="231F20"/>
          <w:spacing w:val="1"/>
        </w:rPr>
        <w:t>development control plan (DCP) </w:t>
      </w:r>
      <w:r>
        <w:rPr>
          <w:color w:val="231F20"/>
        </w:rPr>
        <w:t>for the </w:t>
      </w:r>
      <w:r>
        <w:rPr>
          <w:color w:val="231F20"/>
          <w:spacing w:val="1"/>
        </w:rPr>
        <w:t>Marrickville local government area. </w:t>
      </w:r>
      <w:r>
        <w:rPr>
          <w:color w:val="231F20"/>
        </w:rPr>
        <w:t>The</w:t>
      </w:r>
      <w:r>
        <w:rPr>
          <w:color w:val="231F20"/>
          <w:spacing w:val="17"/>
        </w:rPr>
        <w:t> </w:t>
      </w:r>
      <w:r>
        <w:rPr>
          <w:color w:val="231F20"/>
          <w:spacing w:val="2"/>
        </w:rPr>
        <w:t>existing</w:t>
      </w:r>
    </w:p>
    <w:p>
      <w:pPr>
        <w:pStyle w:val="BodyText"/>
        <w:spacing w:line="348" w:lineRule="auto" w:before="2"/>
        <w:ind w:left="3791" w:right="712"/>
      </w:pPr>
      <w:r>
        <w:rPr>
          <w:color w:val="231F20"/>
          <w:spacing w:val="1"/>
        </w:rPr>
        <w:t>Marrickville </w:t>
      </w:r>
      <w:r>
        <w:rPr>
          <w:color w:val="231F20"/>
        </w:rPr>
        <w:t>Tree </w:t>
      </w:r>
      <w:r>
        <w:rPr>
          <w:color w:val="231F20"/>
          <w:spacing w:val="1"/>
        </w:rPr>
        <w:t>Preservation Order 2007 will </w:t>
      </w:r>
      <w:r>
        <w:rPr>
          <w:color w:val="231F20"/>
        </w:rPr>
        <w:t>be </w:t>
      </w:r>
      <w:r>
        <w:rPr>
          <w:color w:val="231F20"/>
          <w:spacing w:val="1"/>
        </w:rPr>
        <w:t>dissolved </w:t>
      </w:r>
      <w:r>
        <w:rPr>
          <w:color w:val="231F20"/>
        </w:rPr>
        <w:t>and all </w:t>
      </w:r>
      <w:r>
        <w:rPr>
          <w:color w:val="231F20"/>
          <w:spacing w:val="1"/>
        </w:rPr>
        <w:t>tree management </w:t>
      </w:r>
      <w:r>
        <w:rPr>
          <w:color w:val="231F20"/>
          <w:spacing w:val="2"/>
        </w:rPr>
        <w:t>provisions </w:t>
      </w:r>
      <w:r>
        <w:rPr>
          <w:color w:val="231F20"/>
          <w:spacing w:val="1"/>
        </w:rPr>
        <w:t>will </w:t>
      </w:r>
      <w:r>
        <w:rPr>
          <w:color w:val="231F20"/>
        </w:rPr>
        <w:t>be </w:t>
      </w:r>
      <w:r>
        <w:rPr>
          <w:color w:val="231F20"/>
          <w:spacing w:val="1"/>
        </w:rPr>
        <w:t>included </w:t>
      </w:r>
      <w:r>
        <w:rPr>
          <w:color w:val="231F20"/>
        </w:rPr>
        <w:t>in  the  new  </w:t>
      </w:r>
      <w:r>
        <w:rPr>
          <w:color w:val="231F20"/>
          <w:spacing w:val="1"/>
        </w:rPr>
        <w:t>planning instruments. </w:t>
      </w:r>
      <w:r>
        <w:rPr>
          <w:color w:val="231F20"/>
        </w:rPr>
        <w:t>A </w:t>
      </w:r>
      <w:r>
        <w:rPr>
          <w:color w:val="231F20"/>
          <w:spacing w:val="1"/>
        </w:rPr>
        <w:t>working draft </w:t>
      </w:r>
      <w:r>
        <w:rPr>
          <w:color w:val="231F20"/>
        </w:rPr>
        <w:t>of  the  </w:t>
      </w:r>
      <w:r>
        <w:rPr>
          <w:color w:val="231F20"/>
          <w:spacing w:val="1"/>
        </w:rPr>
        <w:t>Marrickville </w:t>
      </w:r>
      <w:r>
        <w:rPr>
          <w:color w:val="231F20"/>
          <w:spacing w:val="2"/>
        </w:rPr>
        <w:t>LEP2010 </w:t>
      </w:r>
      <w:r>
        <w:rPr>
          <w:color w:val="231F20"/>
        </w:rPr>
        <w:t>has </w:t>
      </w:r>
      <w:r>
        <w:rPr>
          <w:color w:val="231F20"/>
          <w:spacing w:val="1"/>
        </w:rPr>
        <w:t>been adopted </w:t>
      </w:r>
      <w:r>
        <w:rPr>
          <w:color w:val="231F20"/>
        </w:rPr>
        <w:t>by </w:t>
      </w:r>
      <w:r>
        <w:rPr>
          <w:color w:val="231F20"/>
          <w:spacing w:val="1"/>
        </w:rPr>
        <w:t>Council. This will </w:t>
      </w:r>
      <w:r>
        <w:rPr>
          <w:color w:val="231F20"/>
        </w:rPr>
        <w:t>be </w:t>
      </w:r>
      <w:r>
        <w:rPr>
          <w:color w:val="231F20"/>
          <w:spacing w:val="1"/>
        </w:rPr>
        <w:t>available </w:t>
      </w:r>
      <w:r>
        <w:rPr>
          <w:color w:val="231F20"/>
        </w:rPr>
        <w:t>for </w:t>
      </w:r>
      <w:r>
        <w:rPr>
          <w:color w:val="231F20"/>
          <w:spacing w:val="1"/>
        </w:rPr>
        <w:t>public exhibition </w:t>
      </w:r>
      <w:r>
        <w:rPr>
          <w:color w:val="231F20"/>
        </w:rPr>
        <w:t>by </w:t>
      </w:r>
      <w:r>
        <w:rPr>
          <w:color w:val="231F20"/>
          <w:spacing w:val="1"/>
        </w:rPr>
        <w:t>late 2010 </w:t>
      </w:r>
      <w:r>
        <w:rPr>
          <w:color w:val="231F20"/>
        </w:rPr>
        <w:t>and it </w:t>
      </w:r>
      <w:r>
        <w:rPr>
          <w:color w:val="231F20"/>
          <w:spacing w:val="2"/>
        </w:rPr>
        <w:t>is </w:t>
      </w:r>
      <w:r>
        <w:rPr>
          <w:color w:val="231F20"/>
          <w:spacing w:val="1"/>
        </w:rPr>
        <w:t>anticipated that gazettal will </w:t>
      </w:r>
      <w:r>
        <w:rPr>
          <w:color w:val="231F20"/>
        </w:rPr>
        <w:t>in</w:t>
      </w:r>
      <w:r>
        <w:rPr>
          <w:color w:val="231F20"/>
          <w:spacing w:val="35"/>
        </w:rPr>
        <w:t> </w:t>
      </w:r>
      <w:r>
        <w:rPr>
          <w:color w:val="231F20"/>
        </w:rPr>
        <w:t>2011.</w:t>
      </w:r>
    </w:p>
    <w:p>
      <w:pPr>
        <w:spacing w:after="0" w:line="348" w:lineRule="auto"/>
        <w:sectPr>
          <w:pgSz w:w="11910" w:h="16840"/>
          <w:pgMar w:header="0" w:footer="779" w:top="920" w:bottom="960" w:left="460" w:right="440"/>
        </w:sectPr>
      </w:pPr>
    </w:p>
    <w:p>
      <w:pPr>
        <w:pStyle w:val="BodyText"/>
        <w:rPr>
          <w:sz w:val="32"/>
        </w:rPr>
      </w:pPr>
    </w:p>
    <w:p>
      <w:pPr>
        <w:pStyle w:val="BodyText"/>
        <w:spacing w:before="8"/>
        <w:rPr>
          <w:sz w:val="29"/>
        </w:rPr>
      </w:pPr>
    </w:p>
    <w:p>
      <w:pPr>
        <w:pStyle w:val="Heading1"/>
      </w:pPr>
      <w:r>
        <w:rPr>
          <w:color w:val="231F20"/>
        </w:rPr>
        <w:t>GLOSSARY</w:t>
      </w:r>
    </w:p>
    <w:p>
      <w:pPr>
        <w:tabs>
          <w:tab w:pos="3219" w:val="left" w:leader="none"/>
        </w:tabs>
        <w:spacing w:line="631" w:lineRule="exact" w:before="126"/>
        <w:ind w:left="771" w:right="0" w:firstLine="0"/>
        <w:jc w:val="left"/>
        <w:rPr>
          <w:b/>
          <w:sz w:val="56"/>
        </w:rPr>
      </w:pPr>
      <w:r>
        <w:rPr/>
        <w:br w:type="column"/>
      </w:r>
      <w:r>
        <w:rPr>
          <w:i/>
          <w:color w:val="231F20"/>
          <w:spacing w:val="6"/>
          <w:sz w:val="24"/>
        </w:rPr>
        <w:t>Marrickville</w:t>
      </w:r>
      <w:r>
        <w:rPr>
          <w:i/>
          <w:color w:val="231F20"/>
          <w:spacing w:val="22"/>
          <w:sz w:val="24"/>
        </w:rPr>
        <w:t> </w:t>
      </w:r>
      <w:r>
        <w:rPr>
          <w:i/>
          <w:color w:val="231F20"/>
          <w:spacing w:val="5"/>
          <w:sz w:val="24"/>
        </w:rPr>
        <w:t>Council</w:t>
        <w:tab/>
      </w:r>
      <w:r>
        <w:rPr>
          <w:b/>
          <w:color w:val="808285"/>
          <w:position w:val="2"/>
          <w:sz w:val="56"/>
        </w:rPr>
        <w:t>b</w:t>
      </w:r>
    </w:p>
    <w:p>
      <w:pPr>
        <w:spacing w:line="264" w:lineRule="exact" w:before="0"/>
        <w:ind w:left="390" w:right="0" w:firstLine="0"/>
        <w:jc w:val="left"/>
        <w:rPr>
          <w:b/>
          <w:i/>
          <w:sz w:val="24"/>
        </w:rPr>
      </w:pPr>
      <w:r>
        <w:rPr/>
        <w:pict>
          <v:shape style="position:absolute;margin-left:533.419189pt;margin-top:-34.239231pt;width:19.5pt;height:55.1pt;mso-position-horizontal-relative:page;mso-position-vertical-relative:paragraph;z-index:-94192"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b/>
          <w:i/>
          <w:color w:val="231F20"/>
          <w:sz w:val="24"/>
        </w:rPr>
        <w:t>Urban Forest Strategy</w:t>
      </w:r>
    </w:p>
    <w:p>
      <w:pPr>
        <w:spacing w:after="0" w:line="264" w:lineRule="exact"/>
        <w:jc w:val="left"/>
        <w:rPr>
          <w:sz w:val="24"/>
        </w:rPr>
        <w:sectPr>
          <w:pgSz w:w="11910" w:h="16840"/>
          <w:pgMar w:header="0" w:footer="779" w:top="920" w:bottom="960" w:left="460" w:right="440"/>
          <w:cols w:num="2" w:equalWidth="0">
            <w:col w:w="1789" w:space="5590"/>
            <w:col w:w="3631"/>
          </w:cols>
        </w:sectPr>
      </w:pPr>
    </w:p>
    <w:p>
      <w:pPr>
        <w:pStyle w:val="BodyText"/>
        <w:rPr>
          <w:b/>
          <w:i/>
          <w:sz w:val="20"/>
        </w:rPr>
      </w:pPr>
      <w:r>
        <w:rPr/>
        <w:pict>
          <v:group style="position:absolute;margin-left:42.5201pt;margin-top:28.919714pt;width:524.450pt;height:771.55pt;mso-position-horizontal-relative:page;mso-position-vertical-relative:page;z-index:-94216"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w10:wrap type="none"/>
          </v:group>
        </w:pict>
      </w:r>
    </w:p>
    <w:p>
      <w:pPr>
        <w:pStyle w:val="BodyText"/>
        <w:spacing w:before="5"/>
        <w:rPr>
          <w:b/>
          <w:i/>
        </w:rPr>
      </w:pPr>
    </w:p>
    <w:p>
      <w:pPr>
        <w:pStyle w:val="Heading5"/>
        <w:spacing w:before="100"/>
      </w:pPr>
      <w:r>
        <w:rPr>
          <w:color w:val="231F20"/>
        </w:rPr>
        <w:t>Acronyms:</w:t>
      </w:r>
    </w:p>
    <w:p>
      <w:pPr>
        <w:pStyle w:val="BodyText"/>
        <w:spacing w:line="348" w:lineRule="auto" w:before="93"/>
        <w:ind w:left="673" w:right="8035"/>
      </w:pPr>
      <w:r>
        <w:rPr>
          <w:color w:val="231F20"/>
        </w:rPr>
        <w:t>TMO = Tree Management Officer TPO = Tree Preservation Order DCP = Development Control Plan LEP = Local Environment Plan LGA = Local Goverment</w:t>
      </w:r>
      <w:r>
        <w:rPr>
          <w:color w:val="231F20"/>
          <w:spacing w:val="30"/>
        </w:rPr>
        <w:t> </w:t>
      </w:r>
      <w:r>
        <w:rPr>
          <w:color w:val="231F20"/>
        </w:rPr>
        <w:t>Area</w:t>
      </w:r>
    </w:p>
    <w:p>
      <w:pPr>
        <w:pStyle w:val="BodyText"/>
        <w:spacing w:before="5"/>
        <w:rPr>
          <w:sz w:val="26"/>
        </w:rPr>
      </w:pPr>
    </w:p>
    <w:p>
      <w:pPr>
        <w:pStyle w:val="Heading5"/>
      </w:pPr>
      <w:r>
        <w:rPr>
          <w:color w:val="231F20"/>
        </w:rPr>
        <w:t>Age Classes:</w:t>
      </w:r>
    </w:p>
    <w:p>
      <w:pPr>
        <w:pStyle w:val="BodyText"/>
        <w:tabs>
          <w:tab w:pos="2091" w:val="left" w:leader="none"/>
        </w:tabs>
        <w:spacing w:line="348" w:lineRule="auto" w:before="93"/>
        <w:ind w:left="673" w:right="6712"/>
      </w:pPr>
      <w:r>
        <w:rPr>
          <w:color w:val="231F20"/>
        </w:rPr>
        <w:t>Young</w:t>
      </w:r>
      <w:r>
        <w:rPr>
          <w:color w:val="231F20"/>
          <w:spacing w:val="5"/>
        </w:rPr>
        <w:t> </w:t>
      </w:r>
      <w:r>
        <w:rPr>
          <w:color w:val="231F20"/>
        </w:rPr>
        <w:t>Tree:</w:t>
        <w:tab/>
        <w:t>Recently planted tree to 5 years Established</w:t>
      </w:r>
      <w:r>
        <w:rPr>
          <w:color w:val="231F20"/>
          <w:spacing w:val="15"/>
        </w:rPr>
        <w:t> </w:t>
      </w:r>
      <w:r>
        <w:rPr>
          <w:color w:val="231F20"/>
        </w:rPr>
        <w:t>Tree:</w:t>
        <w:tab/>
        <w:t>5-10</w:t>
      </w:r>
      <w:r>
        <w:rPr>
          <w:color w:val="231F20"/>
          <w:spacing w:val="6"/>
        </w:rPr>
        <w:t> </w:t>
      </w:r>
      <w:r>
        <w:rPr>
          <w:color w:val="231F20"/>
        </w:rPr>
        <w:t>years</w:t>
      </w:r>
    </w:p>
    <w:p>
      <w:pPr>
        <w:pStyle w:val="BodyText"/>
        <w:tabs>
          <w:tab w:pos="2091" w:val="left" w:leader="none"/>
        </w:tabs>
        <w:spacing w:line="348" w:lineRule="auto" w:before="1"/>
        <w:ind w:left="673" w:right="5240"/>
      </w:pPr>
      <w:r>
        <w:rPr>
          <w:color w:val="231F20"/>
        </w:rPr>
        <w:t>Mature</w:t>
      </w:r>
      <w:r>
        <w:rPr>
          <w:color w:val="231F20"/>
          <w:spacing w:val="10"/>
        </w:rPr>
        <w:t> </w:t>
      </w:r>
      <w:r>
        <w:rPr>
          <w:color w:val="231F20"/>
        </w:rPr>
        <w:t>Tree:</w:t>
        <w:tab/>
        <w:t>Tree reaching its mature height greater than 10 years Senescence</w:t>
      </w:r>
      <w:r>
        <w:rPr>
          <w:color w:val="231F20"/>
          <w:spacing w:val="8"/>
        </w:rPr>
        <w:t> </w:t>
      </w:r>
      <w:r>
        <w:rPr>
          <w:color w:val="231F20"/>
        </w:rPr>
        <w:t>Tree:</w:t>
      </w:r>
      <w:r>
        <w:rPr>
          <w:color w:val="231F20"/>
          <w:spacing w:val="26"/>
        </w:rPr>
        <w:t> </w:t>
      </w:r>
      <w:r>
        <w:rPr>
          <w:color w:val="231F20"/>
        </w:rPr>
        <w:t>Tree</w:t>
      </w:r>
      <w:r>
        <w:rPr>
          <w:color w:val="231F20"/>
          <w:spacing w:val="11"/>
        </w:rPr>
        <w:t> </w:t>
      </w:r>
      <w:r>
        <w:rPr>
          <w:color w:val="231F20"/>
        </w:rPr>
        <w:t>past</w:t>
      </w:r>
      <w:r>
        <w:rPr>
          <w:color w:val="231F20"/>
          <w:spacing w:val="11"/>
        </w:rPr>
        <w:t> </w:t>
      </w:r>
      <w:r>
        <w:rPr>
          <w:color w:val="231F20"/>
        </w:rPr>
        <w:t>its</w:t>
      </w:r>
      <w:r>
        <w:rPr>
          <w:color w:val="231F20"/>
          <w:spacing w:val="11"/>
        </w:rPr>
        <w:t> </w:t>
      </w:r>
      <w:r>
        <w:rPr>
          <w:color w:val="231F20"/>
        </w:rPr>
        <w:t>useful</w:t>
      </w:r>
      <w:r>
        <w:rPr>
          <w:color w:val="231F20"/>
          <w:spacing w:val="11"/>
        </w:rPr>
        <w:t> </w:t>
      </w:r>
      <w:r>
        <w:rPr>
          <w:color w:val="231F20"/>
        </w:rPr>
        <w:t>life</w:t>
      </w:r>
      <w:r>
        <w:rPr>
          <w:color w:val="231F20"/>
          <w:spacing w:val="11"/>
        </w:rPr>
        <w:t> </w:t>
      </w:r>
      <w:r>
        <w:rPr>
          <w:color w:val="231F20"/>
        </w:rPr>
        <w:t>span</w:t>
      </w:r>
      <w:r>
        <w:rPr>
          <w:color w:val="231F20"/>
          <w:spacing w:val="11"/>
        </w:rPr>
        <w:t> </w:t>
      </w:r>
      <w:r>
        <w:rPr>
          <w:color w:val="231F20"/>
        </w:rPr>
        <w:t>which</w:t>
      </w:r>
      <w:r>
        <w:rPr>
          <w:color w:val="231F20"/>
          <w:spacing w:val="11"/>
        </w:rPr>
        <w:t> </w:t>
      </w:r>
      <w:r>
        <w:rPr>
          <w:color w:val="231F20"/>
        </w:rPr>
        <w:t>is</w:t>
      </w:r>
      <w:r>
        <w:rPr>
          <w:color w:val="231F20"/>
          <w:spacing w:val="11"/>
        </w:rPr>
        <w:t> </w:t>
      </w:r>
      <w:r>
        <w:rPr>
          <w:color w:val="231F20"/>
        </w:rPr>
        <w:t>in</w:t>
      </w:r>
      <w:r>
        <w:rPr>
          <w:color w:val="231F20"/>
          <w:spacing w:val="11"/>
        </w:rPr>
        <w:t> </w:t>
      </w:r>
      <w:r>
        <w:rPr>
          <w:color w:val="231F20"/>
        </w:rPr>
        <w:t>decline</w:t>
      </w:r>
    </w:p>
    <w:p>
      <w:pPr>
        <w:pStyle w:val="BodyText"/>
        <w:spacing w:before="3"/>
        <w:rPr>
          <w:sz w:val="26"/>
        </w:rPr>
      </w:pPr>
    </w:p>
    <w:p>
      <w:pPr>
        <w:pStyle w:val="Heading5"/>
      </w:pPr>
      <w:r>
        <w:rPr>
          <w:color w:val="231F20"/>
        </w:rPr>
        <w:t>Amenity tree:</w:t>
      </w:r>
    </w:p>
    <w:p>
      <w:pPr>
        <w:pStyle w:val="BodyText"/>
        <w:spacing w:line="348" w:lineRule="auto" w:before="93"/>
        <w:ind w:left="673" w:right="4087"/>
      </w:pPr>
      <w:r>
        <w:rPr>
          <w:color w:val="231F20"/>
        </w:rPr>
        <w:t>Trees planted to improve environmental or landscape quality (rather than naturally occurring vegetation or ecological planting)</w:t>
      </w:r>
    </w:p>
    <w:p>
      <w:pPr>
        <w:pStyle w:val="BodyText"/>
        <w:spacing w:before="3"/>
        <w:rPr>
          <w:sz w:val="26"/>
        </w:rPr>
      </w:pPr>
    </w:p>
    <w:p>
      <w:pPr>
        <w:pStyle w:val="Heading5"/>
      </w:pPr>
      <w:r>
        <w:rPr>
          <w:color w:val="231F20"/>
        </w:rPr>
        <w:t>Arboriculture:</w:t>
      </w:r>
    </w:p>
    <w:p>
      <w:pPr>
        <w:pStyle w:val="BodyText"/>
        <w:spacing w:before="93"/>
        <w:ind w:left="673"/>
      </w:pPr>
      <w:r>
        <w:rPr>
          <w:color w:val="231F20"/>
        </w:rPr>
        <w:t>Study and cultivation of woody plants predominantly trees</w:t>
      </w:r>
    </w:p>
    <w:p>
      <w:pPr>
        <w:pStyle w:val="BodyText"/>
        <w:rPr>
          <w:sz w:val="20"/>
        </w:rPr>
      </w:pPr>
    </w:p>
    <w:p>
      <w:pPr>
        <w:pStyle w:val="Heading5"/>
        <w:spacing w:before="164"/>
      </w:pPr>
      <w:r>
        <w:rPr>
          <w:color w:val="231F20"/>
        </w:rPr>
        <w:t>Council Tree:</w:t>
      </w:r>
    </w:p>
    <w:p>
      <w:pPr>
        <w:pStyle w:val="BodyText"/>
        <w:spacing w:before="94"/>
        <w:ind w:left="673"/>
      </w:pPr>
      <w:r>
        <w:rPr>
          <w:color w:val="231F20"/>
        </w:rPr>
        <w:t>Trees owned and / or managed by Council (see private trees) - generally in parks and streets</w:t>
      </w:r>
    </w:p>
    <w:p>
      <w:pPr>
        <w:pStyle w:val="BodyText"/>
        <w:rPr>
          <w:sz w:val="20"/>
        </w:rPr>
      </w:pPr>
    </w:p>
    <w:p>
      <w:pPr>
        <w:pStyle w:val="Heading5"/>
        <w:spacing w:before="164"/>
      </w:pPr>
      <w:r>
        <w:rPr>
          <w:color w:val="231F20"/>
        </w:rPr>
        <w:t>Cyclic Tree Maintenance:</w:t>
      </w:r>
    </w:p>
    <w:p>
      <w:pPr>
        <w:pStyle w:val="BodyText"/>
        <w:spacing w:before="93"/>
        <w:ind w:left="673"/>
      </w:pPr>
      <w:r>
        <w:rPr>
          <w:color w:val="231F20"/>
        </w:rPr>
        <w:t>The programmed annual maintenance to trees (usually undertaken in a systematic sequence)</w:t>
      </w:r>
    </w:p>
    <w:p>
      <w:pPr>
        <w:pStyle w:val="BodyText"/>
        <w:rPr>
          <w:sz w:val="20"/>
        </w:rPr>
      </w:pPr>
    </w:p>
    <w:p>
      <w:pPr>
        <w:pStyle w:val="Heading5"/>
        <w:spacing w:before="164"/>
      </w:pPr>
      <w:r>
        <w:rPr>
          <w:color w:val="231F20"/>
        </w:rPr>
        <w:t>Exotic tree:</w:t>
      </w:r>
    </w:p>
    <w:p>
      <w:pPr>
        <w:pStyle w:val="BodyText"/>
        <w:spacing w:before="94"/>
        <w:ind w:left="673"/>
      </w:pPr>
      <w:r>
        <w:rPr>
          <w:color w:val="231F20"/>
        </w:rPr>
        <w:t>Species not originating from Australia</w:t>
      </w:r>
    </w:p>
    <w:p>
      <w:pPr>
        <w:pStyle w:val="BodyText"/>
        <w:rPr>
          <w:sz w:val="20"/>
        </w:rPr>
      </w:pPr>
    </w:p>
    <w:p>
      <w:pPr>
        <w:pStyle w:val="Heading5"/>
        <w:spacing w:before="164"/>
      </w:pPr>
      <w:r>
        <w:rPr>
          <w:color w:val="231F20"/>
        </w:rPr>
        <w:t>Important Trees:</w:t>
      </w:r>
    </w:p>
    <w:p>
      <w:pPr>
        <w:pStyle w:val="BodyText"/>
        <w:spacing w:line="348" w:lineRule="auto" w:before="93"/>
        <w:ind w:left="673" w:right="4087"/>
      </w:pPr>
      <w:r>
        <w:rPr>
          <w:color w:val="231F20"/>
        </w:rPr>
        <w:t>Trees which make a major contribution to the environment on the basis of natural or heritage  factors</w:t>
      </w:r>
      <w:r>
        <w:rPr>
          <w:color w:val="231F20"/>
          <w:spacing w:val="8"/>
        </w:rPr>
        <w:t> </w:t>
      </w:r>
      <w:r>
        <w:rPr>
          <w:color w:val="231F20"/>
        </w:rPr>
        <w:t>or</w:t>
      </w:r>
      <w:r>
        <w:rPr>
          <w:color w:val="231F20"/>
          <w:spacing w:val="8"/>
        </w:rPr>
        <w:t> </w:t>
      </w:r>
      <w:r>
        <w:rPr>
          <w:color w:val="231F20"/>
        </w:rPr>
        <w:t>through</w:t>
      </w:r>
      <w:r>
        <w:rPr>
          <w:color w:val="231F20"/>
          <w:spacing w:val="8"/>
        </w:rPr>
        <w:t> </w:t>
      </w:r>
      <w:r>
        <w:rPr>
          <w:color w:val="231F20"/>
        </w:rPr>
        <w:t>a</w:t>
      </w:r>
      <w:r>
        <w:rPr>
          <w:color w:val="231F20"/>
          <w:spacing w:val="8"/>
        </w:rPr>
        <w:t> </w:t>
      </w:r>
      <w:r>
        <w:rPr>
          <w:color w:val="231F20"/>
        </w:rPr>
        <w:t>major</w:t>
      </w:r>
      <w:r>
        <w:rPr>
          <w:color w:val="231F20"/>
          <w:spacing w:val="8"/>
        </w:rPr>
        <w:t> </w:t>
      </w:r>
      <w:r>
        <w:rPr>
          <w:color w:val="231F20"/>
        </w:rPr>
        <w:t>contribution</w:t>
      </w:r>
      <w:r>
        <w:rPr>
          <w:color w:val="231F20"/>
          <w:spacing w:val="8"/>
        </w:rPr>
        <w:t> </w:t>
      </w:r>
      <w:r>
        <w:rPr>
          <w:color w:val="231F20"/>
        </w:rPr>
        <w:t>to</w:t>
      </w:r>
      <w:r>
        <w:rPr>
          <w:color w:val="231F20"/>
          <w:spacing w:val="8"/>
        </w:rPr>
        <w:t> </w:t>
      </w:r>
      <w:r>
        <w:rPr>
          <w:color w:val="231F20"/>
        </w:rPr>
        <w:t>the</w:t>
      </w:r>
      <w:r>
        <w:rPr>
          <w:color w:val="231F20"/>
          <w:spacing w:val="8"/>
        </w:rPr>
        <w:t> </w:t>
      </w:r>
      <w:r>
        <w:rPr>
          <w:color w:val="231F20"/>
        </w:rPr>
        <w:t>amenity</w:t>
      </w:r>
      <w:r>
        <w:rPr>
          <w:color w:val="231F20"/>
          <w:spacing w:val="8"/>
        </w:rPr>
        <w:t> </w:t>
      </w:r>
      <w:r>
        <w:rPr>
          <w:color w:val="231F20"/>
        </w:rPr>
        <w:t>of</w:t>
      </w:r>
      <w:r>
        <w:rPr>
          <w:color w:val="231F20"/>
          <w:spacing w:val="8"/>
        </w:rPr>
        <w:t> </w:t>
      </w:r>
      <w:r>
        <w:rPr>
          <w:color w:val="231F20"/>
        </w:rPr>
        <w:t>the</w:t>
      </w:r>
      <w:r>
        <w:rPr>
          <w:color w:val="231F20"/>
          <w:spacing w:val="8"/>
        </w:rPr>
        <w:t> </w:t>
      </w:r>
      <w:r>
        <w:rPr>
          <w:color w:val="231F20"/>
          <w:spacing w:val="1"/>
        </w:rPr>
        <w:t>place.</w:t>
      </w:r>
    </w:p>
    <w:p>
      <w:pPr>
        <w:pStyle w:val="BodyText"/>
        <w:spacing w:before="3"/>
        <w:rPr>
          <w:sz w:val="26"/>
        </w:rPr>
      </w:pPr>
    </w:p>
    <w:p>
      <w:pPr>
        <w:pStyle w:val="Heading5"/>
      </w:pPr>
      <w:r>
        <w:rPr>
          <w:color w:val="231F20"/>
        </w:rPr>
        <w:t>Indigenous tree:</w:t>
      </w:r>
    </w:p>
    <w:p>
      <w:pPr>
        <w:pStyle w:val="BodyText"/>
        <w:spacing w:before="93"/>
        <w:ind w:left="673"/>
      </w:pPr>
      <w:r>
        <w:rPr>
          <w:color w:val="231F20"/>
        </w:rPr>
        <w:t>Species that originates from the immediate area/region.</w:t>
      </w:r>
    </w:p>
    <w:p>
      <w:pPr>
        <w:pStyle w:val="BodyText"/>
        <w:rPr>
          <w:sz w:val="20"/>
        </w:rPr>
      </w:pPr>
    </w:p>
    <w:p>
      <w:pPr>
        <w:pStyle w:val="Heading5"/>
        <w:spacing w:before="164"/>
      </w:pPr>
      <w:r>
        <w:rPr>
          <w:color w:val="231F20"/>
        </w:rPr>
        <w:t>Life  Cycle Planning:</w:t>
      </w:r>
    </w:p>
    <w:p>
      <w:pPr>
        <w:pStyle w:val="BodyText"/>
        <w:spacing w:line="348" w:lineRule="auto" w:before="94"/>
        <w:ind w:left="673" w:right="3899"/>
      </w:pPr>
      <w:r>
        <w:rPr>
          <w:color w:val="231F20"/>
        </w:rPr>
        <w:t>Planting, life management and replacement of  trees  as  a  planned  approach  to  trees  in  </w:t>
      </w:r>
      <w:r>
        <w:rPr>
          <w:color w:val="231F20"/>
          <w:spacing w:val="1"/>
        </w:rPr>
        <w:t>the </w:t>
      </w:r>
      <w:r>
        <w:rPr>
          <w:color w:val="231F20"/>
        </w:rPr>
        <w:t>built</w:t>
      </w:r>
      <w:r>
        <w:rPr>
          <w:color w:val="231F20"/>
          <w:spacing w:val="6"/>
        </w:rPr>
        <w:t> </w:t>
      </w:r>
      <w:r>
        <w:rPr>
          <w:color w:val="231F20"/>
        </w:rPr>
        <w:t>environment</w:t>
      </w:r>
    </w:p>
    <w:p>
      <w:pPr>
        <w:spacing w:after="0" w:line="348" w:lineRule="auto"/>
        <w:sectPr>
          <w:type w:val="continuous"/>
          <w:pgSz w:w="11910" w:h="16840"/>
          <w:pgMar w:top="1360" w:bottom="280" w:left="460" w:right="440"/>
        </w:sectPr>
      </w:pPr>
    </w:p>
    <w:p>
      <w:pPr>
        <w:pStyle w:val="ListParagraph"/>
        <w:numPr>
          <w:ilvl w:val="0"/>
          <w:numId w:val="28"/>
        </w:numPr>
        <w:tabs>
          <w:tab w:pos="1347" w:val="left" w:leader="none"/>
          <w:tab w:pos="1348" w:val="left" w:leader="none"/>
        </w:tabs>
        <w:spacing w:line="631" w:lineRule="exact" w:before="126" w:after="0"/>
        <w:ind w:left="1347" w:right="0" w:hanging="737"/>
        <w:jc w:val="left"/>
        <w:rPr>
          <w:i/>
          <w:sz w:val="24"/>
        </w:rPr>
      </w:pPr>
      <w:r>
        <w:rPr/>
        <w:pict>
          <v:group style="position:absolute;margin-left:22.676901pt;margin-top:28.346714pt;width:530.1pt;height:772.1pt;mso-position-horizontal-relative:page;mso-position-vertical-relative:page;z-index:-94168"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w10:wrap type="none"/>
          </v:group>
        </w:pict>
      </w:r>
      <w:r>
        <w:rPr/>
        <w:pict>
          <v:shape style="position:absolute;margin-left:34.015701pt;margin-top:3.630104pt;width:19.5pt;height:55.1pt;mso-position-horizontal-relative:page;mso-position-vertical-relative:paragraph;z-index:2800"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i/>
          <w:color w:val="231F20"/>
          <w:spacing w:val="6"/>
          <w:sz w:val="24"/>
        </w:rPr>
        <w:t>Marrickville</w:t>
      </w:r>
      <w:r>
        <w:rPr>
          <w:i/>
          <w:color w:val="231F20"/>
          <w:spacing w:val="18"/>
          <w:sz w:val="24"/>
        </w:rPr>
        <w:t> </w:t>
      </w:r>
      <w:r>
        <w:rPr>
          <w:i/>
          <w:color w:val="231F20"/>
          <w:spacing w:val="7"/>
          <w:sz w:val="24"/>
        </w:rPr>
        <w:t>Council</w:t>
      </w:r>
    </w:p>
    <w:p>
      <w:pPr>
        <w:spacing w:line="264" w:lineRule="exact" w:before="0"/>
        <w:ind w:left="966" w:right="0" w:firstLine="0"/>
        <w:jc w:val="left"/>
        <w:rPr>
          <w:b/>
          <w:i/>
          <w:sz w:val="24"/>
        </w:rPr>
      </w:pPr>
      <w:r>
        <w:rPr>
          <w:b/>
          <w:i/>
          <w:color w:val="231F20"/>
          <w:sz w:val="24"/>
        </w:rPr>
        <w:t>Urban Forest Strategy</w:t>
      </w:r>
    </w:p>
    <w:p>
      <w:pPr>
        <w:pStyle w:val="BodyText"/>
        <w:rPr>
          <w:b/>
          <w:i/>
          <w:sz w:val="20"/>
        </w:rPr>
      </w:pPr>
    </w:p>
    <w:p>
      <w:pPr>
        <w:pStyle w:val="BodyText"/>
        <w:rPr>
          <w:b/>
          <w:i/>
          <w:sz w:val="20"/>
        </w:rPr>
      </w:pPr>
    </w:p>
    <w:p>
      <w:pPr>
        <w:pStyle w:val="BodyText"/>
        <w:spacing w:before="3"/>
        <w:rPr>
          <w:b/>
          <w:i/>
          <w:sz w:val="25"/>
        </w:rPr>
      </w:pPr>
    </w:p>
    <w:p>
      <w:pPr>
        <w:pStyle w:val="Heading5"/>
        <w:spacing w:before="100"/>
        <w:ind w:left="1364" w:right="3875"/>
        <w:jc w:val="center"/>
      </w:pPr>
      <w:r>
        <w:rPr>
          <w:color w:val="231F20"/>
        </w:rPr>
        <w:t>Marrickville:</w:t>
      </w:r>
    </w:p>
    <w:p>
      <w:pPr>
        <w:pStyle w:val="BodyText"/>
        <w:spacing w:before="93"/>
        <w:ind w:left="4075"/>
      </w:pPr>
      <w:r>
        <w:rPr>
          <w:color w:val="231F20"/>
        </w:rPr>
        <w:t>The current Local Government Area of Marrickville</w:t>
      </w:r>
    </w:p>
    <w:p>
      <w:pPr>
        <w:pStyle w:val="BodyText"/>
        <w:rPr>
          <w:sz w:val="20"/>
        </w:rPr>
      </w:pPr>
    </w:p>
    <w:p>
      <w:pPr>
        <w:pStyle w:val="Heading5"/>
        <w:spacing w:before="164"/>
        <w:ind w:left="1303" w:right="3875"/>
        <w:jc w:val="center"/>
      </w:pPr>
      <w:r>
        <w:rPr>
          <w:color w:val="231F20"/>
        </w:rPr>
        <w:t>Native tree:</w:t>
      </w:r>
    </w:p>
    <w:p>
      <w:pPr>
        <w:pStyle w:val="BodyText"/>
        <w:spacing w:before="94"/>
        <w:ind w:left="3336" w:right="3875"/>
        <w:jc w:val="center"/>
      </w:pPr>
      <w:r>
        <w:rPr>
          <w:color w:val="231F20"/>
        </w:rPr>
        <w:t>Species originating from Australia</w:t>
      </w:r>
    </w:p>
    <w:p>
      <w:pPr>
        <w:pStyle w:val="BodyText"/>
        <w:rPr>
          <w:sz w:val="20"/>
        </w:rPr>
      </w:pPr>
    </w:p>
    <w:p>
      <w:pPr>
        <w:pStyle w:val="Heading5"/>
        <w:spacing w:before="164"/>
        <w:ind w:left="1356" w:right="3875"/>
        <w:jc w:val="center"/>
      </w:pPr>
      <w:r>
        <w:rPr>
          <w:color w:val="231F20"/>
        </w:rPr>
        <w:t>Private tree:</w:t>
      </w:r>
    </w:p>
    <w:p>
      <w:pPr>
        <w:pStyle w:val="BodyText"/>
        <w:spacing w:before="93"/>
        <w:ind w:left="4075"/>
      </w:pPr>
      <w:r>
        <w:rPr>
          <w:color w:val="231F20"/>
        </w:rPr>
        <w:t>Trees located on private land - managed privately and regulated by Council</w:t>
      </w:r>
    </w:p>
    <w:p>
      <w:pPr>
        <w:pStyle w:val="BodyText"/>
        <w:rPr>
          <w:sz w:val="20"/>
        </w:rPr>
      </w:pPr>
    </w:p>
    <w:p>
      <w:pPr>
        <w:pStyle w:val="Heading5"/>
        <w:spacing w:before="164"/>
        <w:ind w:left="2486" w:right="3875"/>
        <w:jc w:val="center"/>
      </w:pPr>
      <w:r>
        <w:rPr>
          <w:color w:val="231F20"/>
        </w:rPr>
        <w:t>Reactive Tree Maintenance:</w:t>
      </w:r>
    </w:p>
    <w:p>
      <w:pPr>
        <w:pStyle w:val="BodyText"/>
        <w:spacing w:before="94"/>
        <w:ind w:left="4075"/>
      </w:pPr>
      <w:r>
        <w:rPr>
          <w:color w:val="231F20"/>
        </w:rPr>
        <w:t>Operations carried out on the basis of complaints or applications by the public</w:t>
      </w:r>
    </w:p>
    <w:p>
      <w:pPr>
        <w:pStyle w:val="BodyText"/>
        <w:rPr>
          <w:sz w:val="20"/>
        </w:rPr>
      </w:pPr>
    </w:p>
    <w:p>
      <w:pPr>
        <w:pStyle w:val="Heading5"/>
        <w:spacing w:before="164"/>
        <w:ind w:left="2112" w:right="3875"/>
        <w:jc w:val="center"/>
      </w:pPr>
      <w:r>
        <w:rPr>
          <w:color w:val="231F20"/>
        </w:rPr>
        <w:t>Remnant Tree/Growth:</w:t>
      </w:r>
    </w:p>
    <w:p>
      <w:pPr>
        <w:pStyle w:val="BodyText"/>
        <w:spacing w:line="348" w:lineRule="auto" w:before="93"/>
        <w:ind w:left="4075" w:right="712"/>
      </w:pPr>
      <w:r>
        <w:rPr>
          <w:color w:val="231F20"/>
        </w:rPr>
        <w:t>Tree/ group of trees, which is/are of the original vegetation of the area or is/are regrowth from      the natural vegetation disturbance (same genetic</w:t>
      </w:r>
      <w:r>
        <w:rPr>
          <w:color w:val="231F20"/>
          <w:spacing w:val="15"/>
        </w:rPr>
        <w:t> </w:t>
      </w:r>
      <w:r>
        <w:rPr>
          <w:color w:val="231F20"/>
        </w:rPr>
        <w:t>material)</w:t>
      </w:r>
    </w:p>
    <w:p>
      <w:pPr>
        <w:pStyle w:val="BodyText"/>
        <w:spacing w:before="3"/>
        <w:rPr>
          <w:sz w:val="26"/>
        </w:rPr>
      </w:pPr>
    </w:p>
    <w:p>
      <w:pPr>
        <w:pStyle w:val="Heading5"/>
        <w:ind w:left="3791"/>
      </w:pPr>
      <w:r>
        <w:rPr>
          <w:color w:val="231F20"/>
        </w:rPr>
        <w:t>Succession Planning:</w:t>
      </w:r>
    </w:p>
    <w:p>
      <w:pPr>
        <w:pStyle w:val="BodyText"/>
        <w:spacing w:line="348" w:lineRule="auto" w:before="93"/>
        <w:ind w:left="4075" w:right="546"/>
      </w:pPr>
      <w:r>
        <w:rPr>
          <w:color w:val="231F20"/>
        </w:rPr>
        <w:t>Planning replacement of  trees  within  the  landscape  when  older  trees  are  removed  due  to  old</w:t>
      </w:r>
      <w:r>
        <w:rPr>
          <w:color w:val="231F20"/>
          <w:spacing w:val="6"/>
        </w:rPr>
        <w:t> </w:t>
      </w:r>
      <w:r>
        <w:rPr>
          <w:color w:val="231F20"/>
          <w:spacing w:val="1"/>
        </w:rPr>
        <w:t>age</w:t>
      </w:r>
    </w:p>
    <w:p>
      <w:pPr>
        <w:pStyle w:val="BodyText"/>
        <w:spacing w:before="3"/>
        <w:rPr>
          <w:sz w:val="26"/>
        </w:rPr>
      </w:pPr>
    </w:p>
    <w:p>
      <w:pPr>
        <w:pStyle w:val="Heading5"/>
        <w:ind w:left="1377" w:right="3875"/>
        <w:jc w:val="center"/>
      </w:pPr>
      <w:r>
        <w:rPr>
          <w:color w:val="231F20"/>
        </w:rPr>
        <w:t>Sustainable:</w:t>
      </w:r>
    </w:p>
    <w:p>
      <w:pPr>
        <w:pStyle w:val="BodyText"/>
        <w:spacing w:line="348" w:lineRule="auto" w:before="93"/>
        <w:ind w:left="4075" w:right="712"/>
      </w:pPr>
      <w:r>
        <w:rPr>
          <w:color w:val="231F20"/>
        </w:rPr>
        <w:t>Is the ability for a asset/resource to continue within an established framework  of  conditions (usually</w:t>
      </w:r>
      <w:r>
        <w:rPr>
          <w:color w:val="231F20"/>
          <w:spacing w:val="11"/>
        </w:rPr>
        <w:t> </w:t>
      </w:r>
      <w:r>
        <w:rPr>
          <w:color w:val="231F20"/>
        </w:rPr>
        <w:t>measured</w:t>
      </w:r>
      <w:r>
        <w:rPr>
          <w:color w:val="231F20"/>
          <w:spacing w:val="11"/>
        </w:rPr>
        <w:t> </w:t>
      </w:r>
      <w:r>
        <w:rPr>
          <w:color w:val="231F20"/>
        </w:rPr>
        <w:t>across</w:t>
      </w:r>
      <w:r>
        <w:rPr>
          <w:color w:val="231F20"/>
          <w:spacing w:val="11"/>
        </w:rPr>
        <w:t> </w:t>
      </w:r>
      <w:r>
        <w:rPr>
          <w:color w:val="231F20"/>
        </w:rPr>
        <w:t>environmental,</w:t>
      </w:r>
      <w:r>
        <w:rPr>
          <w:color w:val="231F20"/>
          <w:spacing w:val="11"/>
        </w:rPr>
        <w:t> </w:t>
      </w:r>
      <w:r>
        <w:rPr>
          <w:color w:val="231F20"/>
        </w:rPr>
        <w:t>social</w:t>
      </w:r>
      <w:r>
        <w:rPr>
          <w:color w:val="231F20"/>
          <w:spacing w:val="11"/>
        </w:rPr>
        <w:t> </w:t>
      </w:r>
      <w:r>
        <w:rPr>
          <w:color w:val="231F20"/>
        </w:rPr>
        <w:t>and</w:t>
      </w:r>
      <w:r>
        <w:rPr>
          <w:color w:val="231F20"/>
          <w:spacing w:val="11"/>
        </w:rPr>
        <w:t> </w:t>
      </w:r>
      <w:r>
        <w:rPr>
          <w:color w:val="231F20"/>
        </w:rPr>
        <w:t>economic</w:t>
      </w:r>
      <w:r>
        <w:rPr>
          <w:color w:val="231F20"/>
          <w:spacing w:val="11"/>
        </w:rPr>
        <w:t> </w:t>
      </w:r>
      <w:r>
        <w:rPr>
          <w:color w:val="231F20"/>
        </w:rPr>
        <w:t>considerations)</w:t>
      </w:r>
    </w:p>
    <w:p>
      <w:pPr>
        <w:pStyle w:val="BodyText"/>
        <w:spacing w:before="3"/>
        <w:rPr>
          <w:sz w:val="26"/>
        </w:rPr>
      </w:pPr>
    </w:p>
    <w:p>
      <w:pPr>
        <w:pStyle w:val="Heading5"/>
        <w:ind w:left="2449" w:right="3875"/>
        <w:jc w:val="center"/>
      </w:pPr>
      <w:r>
        <w:rPr>
          <w:color w:val="231F20"/>
        </w:rPr>
        <w:t>Tree Assessment Methods:</w:t>
      </w:r>
    </w:p>
    <w:p>
      <w:pPr>
        <w:pStyle w:val="BodyText"/>
        <w:spacing w:before="93"/>
        <w:ind w:left="3608" w:right="3875"/>
        <w:jc w:val="center"/>
      </w:pPr>
      <w:r>
        <w:rPr>
          <w:color w:val="231F20"/>
        </w:rPr>
        <w:t>SULE — Safe Useful Life Expectancy</w:t>
      </w:r>
    </w:p>
    <w:p>
      <w:pPr>
        <w:pStyle w:val="BodyText"/>
        <w:spacing w:before="94"/>
        <w:ind w:left="4075"/>
      </w:pPr>
      <w:r>
        <w:rPr>
          <w:color w:val="231F20"/>
        </w:rPr>
        <w:t>Hazard Assessment - Assessment of trees based on structural defects</w:t>
      </w:r>
    </w:p>
    <w:p>
      <w:pPr>
        <w:pStyle w:val="BodyText"/>
        <w:spacing w:before="93"/>
        <w:ind w:left="4075"/>
      </w:pPr>
      <w:r>
        <w:rPr>
          <w:color w:val="231F20"/>
        </w:rPr>
        <w:t>Thyer Method — method of valuation of trees based on their age, condition and significance</w:t>
      </w:r>
    </w:p>
    <w:p>
      <w:pPr>
        <w:pStyle w:val="BodyText"/>
        <w:rPr>
          <w:sz w:val="20"/>
        </w:rPr>
      </w:pPr>
    </w:p>
    <w:p>
      <w:pPr>
        <w:pStyle w:val="Heading5"/>
        <w:spacing w:before="164"/>
        <w:ind w:left="1181" w:right="3875"/>
        <w:jc w:val="center"/>
      </w:pPr>
      <w:r>
        <w:rPr>
          <w:color w:val="231F20"/>
        </w:rPr>
        <w:t>Tree Size:</w:t>
      </w:r>
    </w:p>
    <w:p>
      <w:pPr>
        <w:pStyle w:val="BodyText"/>
        <w:tabs>
          <w:tab w:pos="1417" w:val="left" w:leader="none"/>
        </w:tabs>
        <w:spacing w:before="94"/>
        <w:ind w:right="449"/>
        <w:jc w:val="center"/>
      </w:pPr>
      <w:r>
        <w:rPr>
          <w:color w:val="231F20"/>
        </w:rPr>
        <w:t>Small</w:t>
      </w:r>
      <w:r>
        <w:rPr>
          <w:color w:val="231F20"/>
          <w:spacing w:val="13"/>
        </w:rPr>
        <w:t> </w:t>
      </w:r>
      <w:r>
        <w:rPr>
          <w:color w:val="231F20"/>
        </w:rPr>
        <w:t>tree:</w:t>
        <w:tab/>
        <w:t>5-8m in</w:t>
      </w:r>
      <w:r>
        <w:rPr>
          <w:color w:val="231F20"/>
          <w:spacing w:val="13"/>
        </w:rPr>
        <w:t> </w:t>
      </w:r>
      <w:r>
        <w:rPr>
          <w:color w:val="231F20"/>
          <w:spacing w:val="1"/>
        </w:rPr>
        <w:t>height</w:t>
      </w:r>
    </w:p>
    <w:p>
      <w:pPr>
        <w:pStyle w:val="BodyText"/>
        <w:tabs>
          <w:tab w:pos="1417" w:val="left" w:leader="none"/>
        </w:tabs>
        <w:spacing w:before="93"/>
        <w:ind w:right="364"/>
        <w:jc w:val="center"/>
      </w:pPr>
      <w:r>
        <w:rPr>
          <w:color w:val="231F20"/>
        </w:rPr>
        <w:t>Medium</w:t>
      </w:r>
      <w:r>
        <w:rPr>
          <w:color w:val="231F20"/>
          <w:spacing w:val="13"/>
        </w:rPr>
        <w:t> </w:t>
      </w:r>
      <w:r>
        <w:rPr>
          <w:color w:val="231F20"/>
        </w:rPr>
        <w:t>tree</w:t>
        <w:tab/>
        <w:t>8-15m in</w:t>
      </w:r>
      <w:r>
        <w:rPr>
          <w:color w:val="231F20"/>
          <w:spacing w:val="13"/>
        </w:rPr>
        <w:t> </w:t>
      </w:r>
      <w:r>
        <w:rPr>
          <w:color w:val="231F20"/>
          <w:spacing w:val="1"/>
        </w:rPr>
        <w:t>height</w:t>
      </w:r>
    </w:p>
    <w:p>
      <w:pPr>
        <w:pStyle w:val="BodyText"/>
        <w:tabs>
          <w:tab w:pos="1796" w:val="left" w:leader="none"/>
        </w:tabs>
        <w:spacing w:before="94"/>
        <w:ind w:left="379"/>
        <w:jc w:val="center"/>
      </w:pPr>
      <w:r>
        <w:rPr>
          <w:color w:val="231F20"/>
        </w:rPr>
        <w:t>Large</w:t>
      </w:r>
      <w:r>
        <w:rPr>
          <w:color w:val="231F20"/>
          <w:spacing w:val="13"/>
        </w:rPr>
        <w:t> </w:t>
      </w:r>
      <w:r>
        <w:rPr>
          <w:color w:val="231F20"/>
        </w:rPr>
        <w:t>tree:</w:t>
        <w:tab/>
        <w:t>greater than 15m in</w:t>
      </w:r>
      <w:r>
        <w:rPr>
          <w:color w:val="231F20"/>
          <w:spacing w:val="30"/>
        </w:rPr>
        <w:t> </w:t>
      </w:r>
      <w:r>
        <w:rPr>
          <w:color w:val="231F20"/>
          <w:spacing w:val="1"/>
        </w:rPr>
        <w:t>height</w:t>
      </w:r>
    </w:p>
    <w:p>
      <w:pPr>
        <w:spacing w:after="0"/>
        <w:jc w:val="center"/>
        <w:sectPr>
          <w:pgSz w:w="11910" w:h="16840"/>
          <w:pgMar w:header="0" w:footer="779" w:top="920" w:bottom="960" w:left="460" w:right="440"/>
        </w:sectPr>
      </w:pPr>
    </w:p>
    <w:p>
      <w:pPr>
        <w:pStyle w:val="BodyText"/>
        <w:rPr>
          <w:sz w:val="32"/>
        </w:rPr>
      </w:pPr>
    </w:p>
    <w:p>
      <w:pPr>
        <w:pStyle w:val="BodyText"/>
        <w:spacing w:before="8"/>
        <w:rPr>
          <w:sz w:val="29"/>
        </w:rPr>
      </w:pPr>
    </w:p>
    <w:p>
      <w:pPr>
        <w:pStyle w:val="Heading1"/>
      </w:pPr>
      <w:r>
        <w:rPr>
          <w:color w:val="231F20"/>
        </w:rPr>
        <w:t>REFERENCE LIST</w:t>
      </w:r>
    </w:p>
    <w:p>
      <w:pPr>
        <w:tabs>
          <w:tab w:pos="3244" w:val="left" w:leader="none"/>
        </w:tabs>
        <w:spacing w:line="631" w:lineRule="exact" w:before="126"/>
        <w:ind w:left="771" w:right="0" w:firstLine="0"/>
        <w:jc w:val="left"/>
        <w:rPr>
          <w:b/>
          <w:sz w:val="56"/>
        </w:rPr>
      </w:pPr>
      <w:r>
        <w:rPr/>
        <w:br w:type="column"/>
      </w:r>
      <w:r>
        <w:rPr>
          <w:i/>
          <w:color w:val="231F20"/>
          <w:spacing w:val="6"/>
          <w:sz w:val="24"/>
        </w:rPr>
        <w:t>Marrickville</w:t>
      </w:r>
      <w:r>
        <w:rPr>
          <w:i/>
          <w:color w:val="231F20"/>
          <w:spacing w:val="22"/>
          <w:sz w:val="24"/>
        </w:rPr>
        <w:t> </w:t>
      </w:r>
      <w:r>
        <w:rPr>
          <w:i/>
          <w:color w:val="231F20"/>
          <w:spacing w:val="5"/>
          <w:sz w:val="24"/>
        </w:rPr>
        <w:t>Council</w:t>
        <w:tab/>
      </w:r>
      <w:r>
        <w:rPr>
          <w:b/>
          <w:color w:val="808285"/>
          <w:position w:val="2"/>
          <w:sz w:val="56"/>
        </w:rPr>
        <w:t>c</w:t>
      </w:r>
    </w:p>
    <w:p>
      <w:pPr>
        <w:spacing w:line="264" w:lineRule="exact" w:before="0"/>
        <w:ind w:left="390" w:right="0" w:firstLine="0"/>
        <w:jc w:val="left"/>
        <w:rPr>
          <w:b/>
          <w:i/>
          <w:sz w:val="24"/>
        </w:rPr>
      </w:pPr>
      <w:r>
        <w:rPr/>
        <w:pict>
          <v:shape style="position:absolute;margin-left:534.676270pt;margin-top:-34.239231pt;width:19.5pt;height:55.1pt;mso-position-horizontal-relative:page;mso-position-vertical-relative:paragraph;z-index:-94096"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b/>
          <w:i/>
          <w:color w:val="231F20"/>
          <w:sz w:val="24"/>
        </w:rPr>
        <w:t>Urban Forest Strategy</w:t>
      </w:r>
    </w:p>
    <w:p>
      <w:pPr>
        <w:spacing w:after="0" w:line="264" w:lineRule="exact"/>
        <w:jc w:val="left"/>
        <w:rPr>
          <w:sz w:val="24"/>
        </w:rPr>
        <w:sectPr>
          <w:pgSz w:w="11910" w:h="16840"/>
          <w:pgMar w:header="0" w:footer="779" w:top="920" w:bottom="960" w:left="460" w:right="440"/>
          <w:cols w:num="2" w:equalWidth="0">
            <w:col w:w="2566" w:space="4813"/>
            <w:col w:w="3631"/>
          </w:cols>
        </w:sectPr>
      </w:pPr>
    </w:p>
    <w:p>
      <w:pPr>
        <w:pStyle w:val="BodyText"/>
        <w:rPr>
          <w:b/>
          <w:i/>
          <w:sz w:val="20"/>
        </w:rPr>
      </w:pPr>
      <w:r>
        <w:rPr/>
        <w:pict>
          <v:group style="position:absolute;margin-left:42.5201pt;margin-top:28.919714pt;width:524.450pt;height:771.55pt;mso-position-horizontal-relative:page;mso-position-vertical-relative:page;z-index:-94120"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w10:wrap type="none"/>
          </v:group>
        </w:pict>
      </w:r>
    </w:p>
    <w:p>
      <w:pPr>
        <w:pStyle w:val="BodyText"/>
        <w:spacing w:before="10"/>
        <w:rPr>
          <w:b/>
          <w:i/>
          <w:sz w:val="29"/>
        </w:rPr>
      </w:pPr>
    </w:p>
    <w:p>
      <w:pPr>
        <w:spacing w:line="278" w:lineRule="auto" w:before="100"/>
        <w:ind w:left="965" w:right="4439" w:hanging="567"/>
        <w:jc w:val="left"/>
        <w:rPr>
          <w:sz w:val="18"/>
        </w:rPr>
      </w:pPr>
      <w:r>
        <w:rPr>
          <w:color w:val="231F20"/>
          <w:sz w:val="18"/>
        </w:rPr>
        <w:t>Richard Cashman and Chrys Meader, </w:t>
      </w:r>
      <w:r>
        <w:rPr>
          <w:i/>
          <w:color w:val="231F20"/>
          <w:sz w:val="18"/>
          <w:u w:val="single" w:color="231F20"/>
        </w:rPr>
        <w:t>Marrickville Rural Outpost To Inner City</w:t>
      </w:r>
      <w:r>
        <w:rPr>
          <w:color w:val="231F20"/>
          <w:sz w:val="18"/>
        </w:rPr>
        <w:t>, Alexandria, 1990.</w:t>
      </w:r>
    </w:p>
    <w:p>
      <w:pPr>
        <w:pStyle w:val="BodyText"/>
        <w:rPr>
          <w:sz w:val="20"/>
        </w:rPr>
      </w:pPr>
    </w:p>
    <w:p>
      <w:pPr>
        <w:pStyle w:val="BodyText"/>
        <w:spacing w:before="8"/>
        <w:rPr>
          <w:sz w:val="16"/>
        </w:rPr>
      </w:pPr>
    </w:p>
    <w:p>
      <w:pPr>
        <w:spacing w:line="278" w:lineRule="auto" w:before="0"/>
        <w:ind w:left="965" w:right="4439" w:hanging="567"/>
        <w:jc w:val="left"/>
        <w:rPr>
          <w:sz w:val="18"/>
        </w:rPr>
      </w:pPr>
      <w:r>
        <w:rPr>
          <w:color w:val="231F20"/>
          <w:sz w:val="18"/>
        </w:rPr>
        <w:t>Chrys Meader, Richard Cashman, Anne Coralan, </w:t>
      </w:r>
      <w:r>
        <w:rPr>
          <w:i/>
          <w:color w:val="231F20"/>
          <w:sz w:val="18"/>
          <w:u w:val="single" w:color="231F20"/>
        </w:rPr>
        <w:t>Marrickville People and Places</w:t>
      </w:r>
      <w:r>
        <w:rPr>
          <w:color w:val="231F20"/>
          <w:sz w:val="18"/>
        </w:rPr>
        <w:t>, Sydney, 1994.</w:t>
      </w:r>
    </w:p>
    <w:p>
      <w:pPr>
        <w:pStyle w:val="BodyText"/>
        <w:rPr>
          <w:sz w:val="20"/>
        </w:rPr>
      </w:pPr>
    </w:p>
    <w:p>
      <w:pPr>
        <w:pStyle w:val="BodyText"/>
        <w:spacing w:before="8"/>
        <w:rPr>
          <w:sz w:val="16"/>
        </w:rPr>
      </w:pPr>
    </w:p>
    <w:p>
      <w:pPr>
        <w:spacing w:line="278" w:lineRule="auto" w:before="0"/>
        <w:ind w:left="965" w:right="4087" w:hanging="567"/>
        <w:jc w:val="left"/>
        <w:rPr>
          <w:sz w:val="18"/>
        </w:rPr>
      </w:pPr>
      <w:r>
        <w:rPr>
          <w:color w:val="231F20"/>
          <w:sz w:val="18"/>
        </w:rPr>
        <w:t>Technical Services Division, </w:t>
      </w:r>
      <w:r>
        <w:rPr>
          <w:i/>
          <w:color w:val="231F20"/>
          <w:sz w:val="18"/>
          <w:u w:val="single" w:color="231F20"/>
        </w:rPr>
        <w:t>Marrickville Street Tree Policy Review and Guidelines</w:t>
      </w:r>
      <w:r>
        <w:rPr>
          <w:color w:val="231F20"/>
          <w:sz w:val="18"/>
        </w:rPr>
        <w:t>, 1993 (unpublished).</w:t>
      </w:r>
    </w:p>
    <w:p>
      <w:pPr>
        <w:pStyle w:val="BodyText"/>
        <w:rPr>
          <w:sz w:val="20"/>
        </w:rPr>
      </w:pPr>
    </w:p>
    <w:p>
      <w:pPr>
        <w:pStyle w:val="BodyText"/>
        <w:spacing w:before="7"/>
        <w:rPr>
          <w:sz w:val="16"/>
        </w:rPr>
      </w:pPr>
    </w:p>
    <w:p>
      <w:pPr>
        <w:pStyle w:val="BodyText"/>
        <w:spacing w:line="278" w:lineRule="auto" w:before="1"/>
        <w:ind w:left="965" w:right="5240" w:hanging="567"/>
      </w:pPr>
      <w:r>
        <w:rPr>
          <w:color w:val="231F20"/>
        </w:rPr>
        <w:t>Marrickville Council, </w:t>
      </w:r>
      <w:r>
        <w:rPr>
          <w:color w:val="231F20"/>
          <w:u w:val="single" w:color="231F20"/>
        </w:rPr>
        <w:t>Marrickville Local Environmental Plan 2001</w:t>
      </w:r>
      <w:r>
        <w:rPr>
          <w:color w:val="231F20"/>
        </w:rPr>
        <w:t>, Consolidated 26 October 2004.</w:t>
      </w:r>
    </w:p>
    <w:p>
      <w:pPr>
        <w:pStyle w:val="BodyText"/>
        <w:rPr>
          <w:sz w:val="20"/>
        </w:rPr>
      </w:pPr>
    </w:p>
    <w:p>
      <w:pPr>
        <w:pStyle w:val="Heading5"/>
        <w:spacing w:before="131"/>
        <w:ind w:left="398"/>
      </w:pPr>
      <w:r>
        <w:rPr>
          <w:color w:val="231F20"/>
        </w:rPr>
        <w:t>Web References:</w:t>
      </w:r>
    </w:p>
    <w:p>
      <w:pPr>
        <w:pStyle w:val="BodyText"/>
        <w:rPr>
          <w:b/>
          <w:sz w:val="20"/>
        </w:rPr>
      </w:pPr>
    </w:p>
    <w:p>
      <w:pPr>
        <w:pStyle w:val="BodyText"/>
        <w:spacing w:before="6"/>
        <w:rPr>
          <w:b/>
          <w:sz w:val="19"/>
        </w:rPr>
      </w:pPr>
    </w:p>
    <w:p>
      <w:pPr>
        <w:pStyle w:val="BodyText"/>
        <w:spacing w:line="278" w:lineRule="auto"/>
        <w:ind w:left="965" w:right="5240" w:hanging="567"/>
      </w:pPr>
      <w:hyperlink r:id="rId8">
        <w:r>
          <w:rPr>
            <w:color w:val="231F20"/>
          </w:rPr>
          <w:t>www.marrickville.nsw.gov.au </w:t>
        </w:r>
      </w:hyperlink>
      <w:r>
        <w:rPr>
          <w:color w:val="231F20"/>
        </w:rPr>
        <w:t>(Marrickville Library Services Local Studies Images Database).</w:t>
      </w:r>
    </w:p>
    <w:p>
      <w:pPr>
        <w:pStyle w:val="BodyText"/>
        <w:rPr>
          <w:sz w:val="20"/>
        </w:rPr>
      </w:pPr>
    </w:p>
    <w:p>
      <w:pPr>
        <w:pStyle w:val="BodyText"/>
        <w:spacing w:before="7"/>
        <w:rPr>
          <w:sz w:val="16"/>
        </w:rPr>
      </w:pPr>
    </w:p>
    <w:p>
      <w:pPr>
        <w:pStyle w:val="BodyText"/>
        <w:spacing w:line="278" w:lineRule="auto" w:before="1"/>
        <w:ind w:left="965" w:right="4683" w:hanging="567"/>
      </w:pPr>
      <w:r>
        <w:rPr>
          <w:color w:val="231F20"/>
        </w:rPr>
        <w:t>www.austlii (Australasian Legal Information Institute, being a joint facility of UTS and UNSW Faculties of Law).</w:t>
      </w:r>
    </w:p>
    <w:p>
      <w:pPr>
        <w:spacing w:after="0" w:line="278" w:lineRule="auto"/>
        <w:sectPr>
          <w:type w:val="continuous"/>
          <w:pgSz w:w="11910" w:h="16840"/>
          <w:pgMar w:top="1360" w:bottom="280" w:left="460" w:right="440"/>
        </w:sectPr>
      </w:pPr>
    </w:p>
    <w:p>
      <w:pPr>
        <w:tabs>
          <w:tab w:pos="1347" w:val="left" w:leader="none"/>
        </w:tabs>
        <w:spacing w:line="631" w:lineRule="exact" w:before="126"/>
        <w:ind w:left="610" w:right="0" w:firstLine="0"/>
        <w:jc w:val="left"/>
        <w:rPr>
          <w:i/>
          <w:sz w:val="24"/>
        </w:rPr>
      </w:pPr>
      <w:r>
        <w:rPr/>
        <w:pict>
          <v:group style="position:absolute;margin-left:22.676901pt;margin-top:28.346714pt;width:530.1pt;height:772.1pt;mso-position-horizontal-relative:page;mso-position-vertical-relative:page;z-index:-94072"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w10:wrap type="none"/>
          </v:group>
        </w:pict>
      </w:r>
      <w:r>
        <w:rPr/>
        <w:pict>
          <v:shape style="position:absolute;margin-left:34.015701pt;margin-top:3.630104pt;width:19.5pt;height:55.1pt;mso-position-horizontal-relative:page;mso-position-vertical-relative:paragraph;z-index:2896"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b/>
          <w:color w:val="808285"/>
          <w:position w:val="2"/>
          <w:sz w:val="56"/>
        </w:rPr>
        <w:t>d</w:t>
        <w:tab/>
      </w:r>
      <w:r>
        <w:rPr>
          <w:i/>
          <w:color w:val="231F20"/>
          <w:spacing w:val="6"/>
          <w:sz w:val="24"/>
        </w:rPr>
        <w:t>Marrickville</w:t>
      </w:r>
      <w:r>
        <w:rPr>
          <w:i/>
          <w:color w:val="231F20"/>
          <w:spacing w:val="40"/>
          <w:sz w:val="24"/>
        </w:rPr>
        <w:t> </w:t>
      </w:r>
      <w:r>
        <w:rPr>
          <w:i/>
          <w:color w:val="231F20"/>
          <w:spacing w:val="7"/>
          <w:sz w:val="24"/>
        </w:rPr>
        <w:t>Council</w:t>
      </w:r>
    </w:p>
    <w:p>
      <w:pPr>
        <w:spacing w:line="264" w:lineRule="exact" w:before="0"/>
        <w:ind w:left="966" w:right="0" w:firstLine="0"/>
        <w:jc w:val="left"/>
        <w:rPr>
          <w:b/>
          <w:i/>
          <w:sz w:val="24"/>
        </w:rPr>
      </w:pPr>
      <w:r>
        <w:rPr>
          <w:b/>
          <w:i/>
          <w:color w:val="231F20"/>
          <w:sz w:val="24"/>
        </w:rPr>
        <w:t>Urban  Forest Strategy</w:t>
      </w:r>
    </w:p>
    <w:p>
      <w:pPr>
        <w:pStyle w:val="BodyText"/>
        <w:rPr>
          <w:b/>
          <w:i/>
          <w:sz w:val="20"/>
        </w:rPr>
      </w:pPr>
    </w:p>
    <w:p>
      <w:pPr>
        <w:pStyle w:val="BodyText"/>
        <w:spacing w:before="11"/>
        <w:rPr>
          <w:b/>
          <w:i/>
          <w:sz w:val="28"/>
        </w:rPr>
      </w:pPr>
    </w:p>
    <w:p>
      <w:pPr>
        <w:pStyle w:val="Heading3"/>
        <w:spacing w:line="314" w:lineRule="auto" w:before="100"/>
        <w:ind w:left="3791" w:right="712" w:firstLine="0"/>
      </w:pPr>
      <w:r>
        <w:rPr>
          <w:color w:val="231F20"/>
        </w:rPr>
        <w:t>Tree Law Acts and Regulation Relating to Tree Management in Marrickville Municipality.</w:t>
      </w:r>
    </w:p>
    <w:p>
      <w:pPr>
        <w:pStyle w:val="BodyText"/>
        <w:spacing w:before="7"/>
        <w:rPr>
          <w:b/>
          <w:sz w:val="27"/>
        </w:rPr>
      </w:pPr>
    </w:p>
    <w:p>
      <w:pPr>
        <w:pStyle w:val="BodyText"/>
        <w:spacing w:line="348" w:lineRule="auto"/>
        <w:ind w:left="3791" w:right="653"/>
      </w:pPr>
      <w:r>
        <w:rPr>
          <w:color w:val="231F20"/>
        </w:rPr>
        <w:t>Common law allows a land owner to abate a nuisance. The law permits a land owner to prune         a</w:t>
      </w:r>
      <w:r>
        <w:rPr>
          <w:color w:val="231F20"/>
          <w:spacing w:val="16"/>
        </w:rPr>
        <w:t> </w:t>
      </w:r>
      <w:r>
        <w:rPr>
          <w:color w:val="231F20"/>
          <w:spacing w:val="1"/>
        </w:rPr>
        <w:t>neighbour’s</w:t>
      </w:r>
      <w:r>
        <w:rPr>
          <w:color w:val="231F20"/>
          <w:spacing w:val="16"/>
        </w:rPr>
        <w:t> </w:t>
      </w:r>
      <w:r>
        <w:rPr>
          <w:color w:val="231F20"/>
        </w:rPr>
        <w:t>tree</w:t>
      </w:r>
      <w:r>
        <w:rPr>
          <w:color w:val="231F20"/>
          <w:spacing w:val="16"/>
        </w:rPr>
        <w:t> </w:t>
      </w:r>
      <w:r>
        <w:rPr>
          <w:color w:val="231F20"/>
        </w:rPr>
        <w:t>where</w:t>
      </w:r>
      <w:r>
        <w:rPr>
          <w:color w:val="231F20"/>
          <w:spacing w:val="16"/>
        </w:rPr>
        <w:t> </w:t>
      </w:r>
      <w:r>
        <w:rPr>
          <w:color w:val="231F20"/>
        </w:rPr>
        <w:t>the</w:t>
      </w:r>
      <w:r>
        <w:rPr>
          <w:color w:val="231F20"/>
          <w:spacing w:val="16"/>
        </w:rPr>
        <w:t> </w:t>
      </w:r>
      <w:r>
        <w:rPr>
          <w:color w:val="231F20"/>
        </w:rPr>
        <w:t>branches</w:t>
      </w:r>
      <w:r>
        <w:rPr>
          <w:color w:val="231F20"/>
          <w:spacing w:val="16"/>
        </w:rPr>
        <w:t> </w:t>
      </w:r>
      <w:r>
        <w:rPr>
          <w:color w:val="231F20"/>
        </w:rPr>
        <w:t>overhang</w:t>
      </w:r>
      <w:r>
        <w:rPr>
          <w:color w:val="231F20"/>
          <w:spacing w:val="16"/>
        </w:rPr>
        <w:t> </w:t>
      </w:r>
      <w:r>
        <w:rPr>
          <w:color w:val="231F20"/>
        </w:rPr>
        <w:t>a</w:t>
      </w:r>
      <w:r>
        <w:rPr>
          <w:color w:val="231F20"/>
          <w:spacing w:val="16"/>
        </w:rPr>
        <w:t> </w:t>
      </w:r>
      <w:r>
        <w:rPr>
          <w:color w:val="231F20"/>
        </w:rPr>
        <w:t>common</w:t>
      </w:r>
      <w:r>
        <w:rPr>
          <w:color w:val="231F20"/>
          <w:spacing w:val="16"/>
        </w:rPr>
        <w:t> </w:t>
      </w:r>
      <w:r>
        <w:rPr>
          <w:color w:val="231F20"/>
        </w:rPr>
        <w:t>boundary</w:t>
      </w:r>
      <w:r>
        <w:rPr>
          <w:color w:val="231F20"/>
          <w:spacing w:val="16"/>
        </w:rPr>
        <w:t> </w:t>
      </w:r>
      <w:r>
        <w:rPr>
          <w:color w:val="231F20"/>
        </w:rPr>
        <w:t>and</w:t>
      </w:r>
      <w:r>
        <w:rPr>
          <w:color w:val="231F20"/>
          <w:spacing w:val="16"/>
        </w:rPr>
        <w:t> </w:t>
      </w:r>
      <w:r>
        <w:rPr>
          <w:color w:val="231F20"/>
        </w:rPr>
        <w:t>are</w:t>
      </w:r>
      <w:r>
        <w:rPr>
          <w:color w:val="231F20"/>
          <w:spacing w:val="16"/>
        </w:rPr>
        <w:t> </w:t>
      </w:r>
      <w:r>
        <w:rPr>
          <w:color w:val="231F20"/>
        </w:rPr>
        <w:t>considered</w:t>
      </w:r>
      <w:r>
        <w:rPr>
          <w:color w:val="231F20"/>
          <w:spacing w:val="16"/>
        </w:rPr>
        <w:t> </w:t>
      </w:r>
      <w:r>
        <w:rPr>
          <w:color w:val="231F20"/>
        </w:rPr>
        <w:t>to</w:t>
      </w:r>
      <w:r>
        <w:rPr>
          <w:color w:val="231F20"/>
          <w:spacing w:val="16"/>
        </w:rPr>
        <w:t> </w:t>
      </w:r>
      <w:r>
        <w:rPr>
          <w:color w:val="231F20"/>
        </w:rPr>
        <w:t>be</w:t>
      </w:r>
    </w:p>
    <w:p>
      <w:pPr>
        <w:pStyle w:val="BodyText"/>
        <w:spacing w:line="348" w:lineRule="auto" w:before="1"/>
        <w:ind w:left="3791" w:right="712"/>
      </w:pPr>
      <w:r>
        <w:rPr>
          <w:color w:val="231F20"/>
        </w:rPr>
        <w:t>affecting the enjoyment of the property. Generally the pruning is only permitted on that part of </w:t>
      </w:r>
      <w:r>
        <w:rPr>
          <w:color w:val="231F20"/>
          <w:spacing w:val="1"/>
        </w:rPr>
        <w:t>the     </w:t>
      </w:r>
      <w:r>
        <w:rPr>
          <w:color w:val="231F20"/>
        </w:rPr>
        <w:t>tree that overhangs, and trespassing onto the neighbouring property to carryout the work is </w:t>
      </w:r>
      <w:r>
        <w:rPr>
          <w:color w:val="231F20"/>
          <w:spacing w:val="1"/>
        </w:rPr>
        <w:t>not </w:t>
      </w:r>
      <w:r>
        <w:rPr>
          <w:color w:val="231F20"/>
        </w:rPr>
        <w:t>permitted. Additionally any damage that may occur to the </w:t>
      </w:r>
      <w:r>
        <w:rPr>
          <w:color w:val="231F20"/>
          <w:spacing w:val="1"/>
        </w:rPr>
        <w:t>neighbour’s </w:t>
      </w:r>
      <w:r>
        <w:rPr>
          <w:color w:val="231F20"/>
        </w:rPr>
        <w:t>property in the process or as       a result of the pruning may make the perpetrator liable for that damage. Likewise a property owner whos property is sustaining damage from a tree has the legal right to recover costs for the </w:t>
      </w:r>
      <w:r>
        <w:rPr>
          <w:color w:val="231F20"/>
          <w:spacing w:val="1"/>
        </w:rPr>
        <w:t>damage       </w:t>
      </w:r>
      <w:r>
        <w:rPr>
          <w:color w:val="231F20"/>
        </w:rPr>
        <w:t>if</w:t>
      </w:r>
      <w:r>
        <w:rPr>
          <w:color w:val="231F20"/>
          <w:spacing w:val="7"/>
        </w:rPr>
        <w:t> </w:t>
      </w:r>
      <w:r>
        <w:rPr>
          <w:color w:val="231F20"/>
        </w:rPr>
        <w:t>it</w:t>
      </w:r>
      <w:r>
        <w:rPr>
          <w:color w:val="231F20"/>
          <w:spacing w:val="7"/>
        </w:rPr>
        <w:t> </w:t>
      </w:r>
      <w:r>
        <w:rPr>
          <w:color w:val="231F20"/>
        </w:rPr>
        <w:t>is</w:t>
      </w:r>
      <w:r>
        <w:rPr>
          <w:color w:val="231F20"/>
          <w:spacing w:val="7"/>
        </w:rPr>
        <w:t> </w:t>
      </w:r>
      <w:r>
        <w:rPr>
          <w:color w:val="231F20"/>
        </w:rPr>
        <w:t>proven</w:t>
      </w:r>
      <w:r>
        <w:rPr>
          <w:color w:val="231F20"/>
          <w:spacing w:val="7"/>
        </w:rPr>
        <w:t> </w:t>
      </w:r>
      <w:r>
        <w:rPr>
          <w:color w:val="231F20"/>
        </w:rPr>
        <w:t>that</w:t>
      </w:r>
      <w:r>
        <w:rPr>
          <w:color w:val="231F20"/>
          <w:spacing w:val="7"/>
        </w:rPr>
        <w:t> </w:t>
      </w:r>
      <w:r>
        <w:rPr>
          <w:color w:val="231F20"/>
        </w:rPr>
        <w:t>the</w:t>
      </w:r>
      <w:r>
        <w:rPr>
          <w:color w:val="231F20"/>
          <w:spacing w:val="7"/>
        </w:rPr>
        <w:t> </w:t>
      </w:r>
      <w:r>
        <w:rPr>
          <w:color w:val="231F20"/>
        </w:rPr>
        <w:t>tree</w:t>
      </w:r>
      <w:r>
        <w:rPr>
          <w:color w:val="231F20"/>
          <w:spacing w:val="7"/>
        </w:rPr>
        <w:t> </w:t>
      </w:r>
      <w:r>
        <w:rPr>
          <w:color w:val="231F20"/>
        </w:rPr>
        <w:t>is</w:t>
      </w:r>
      <w:r>
        <w:rPr>
          <w:color w:val="231F20"/>
          <w:spacing w:val="7"/>
        </w:rPr>
        <w:t> </w:t>
      </w:r>
      <w:r>
        <w:rPr>
          <w:color w:val="231F20"/>
        </w:rPr>
        <w:t>the</w:t>
      </w:r>
      <w:r>
        <w:rPr>
          <w:color w:val="231F20"/>
          <w:spacing w:val="7"/>
        </w:rPr>
        <w:t> </w:t>
      </w:r>
      <w:r>
        <w:rPr>
          <w:color w:val="231F20"/>
        </w:rPr>
        <w:t>cause</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damage.</w:t>
      </w:r>
    </w:p>
    <w:p>
      <w:pPr>
        <w:pStyle w:val="BodyText"/>
        <w:spacing w:before="5"/>
        <w:rPr>
          <w:sz w:val="26"/>
        </w:rPr>
      </w:pPr>
    </w:p>
    <w:p>
      <w:pPr>
        <w:pStyle w:val="BodyText"/>
        <w:spacing w:line="348" w:lineRule="auto"/>
        <w:ind w:left="3791" w:right="712"/>
      </w:pPr>
      <w:r>
        <w:rPr>
          <w:color w:val="231F20"/>
        </w:rPr>
        <w:t>The Environmental Planning and Assessment Act 1979 (EP&amp;A Act)  Section  26(e)  empowers Council through environmental planning instruments to protect or preserve trees or vegetation, removing the common law right to abate the nuisance of an overhanging branch. The EP&amp;A </w:t>
      </w:r>
      <w:r>
        <w:rPr>
          <w:color w:val="231F20"/>
          <w:spacing w:val="1"/>
        </w:rPr>
        <w:t>Act   </w:t>
      </w:r>
      <w:r>
        <w:rPr>
          <w:color w:val="231F20"/>
        </w:rPr>
        <w:t>does not remove the right to recover the cost due to any damage that may occur due to the tree. Currently Council enacts this power through Clause 56 of the Council's Local Environmental Plan (LEP) 2001 adopting Clause 8 of the EP&amp;A Act Model Provisions 1980 within the </w:t>
      </w:r>
      <w:r>
        <w:rPr>
          <w:color w:val="231F20"/>
          <w:spacing w:val="-3"/>
        </w:rPr>
        <w:t>LEP. </w:t>
      </w:r>
      <w:r>
        <w:rPr>
          <w:color w:val="231F20"/>
          <w:spacing w:val="1"/>
        </w:rPr>
        <w:t>Recent </w:t>
      </w:r>
      <w:r>
        <w:rPr>
          <w:color w:val="231F20"/>
        </w:rPr>
        <w:t>changes</w:t>
      </w:r>
      <w:r>
        <w:rPr>
          <w:color w:val="231F20"/>
          <w:spacing w:val="10"/>
        </w:rPr>
        <w:t> </w:t>
      </w:r>
      <w:r>
        <w:rPr>
          <w:color w:val="231F20"/>
        </w:rPr>
        <w:t>to</w:t>
      </w:r>
      <w:r>
        <w:rPr>
          <w:color w:val="231F20"/>
          <w:spacing w:val="10"/>
        </w:rPr>
        <w:t> </w:t>
      </w:r>
      <w:r>
        <w:rPr>
          <w:color w:val="231F20"/>
        </w:rPr>
        <w:t>the</w:t>
      </w:r>
      <w:r>
        <w:rPr>
          <w:color w:val="231F20"/>
          <w:spacing w:val="10"/>
        </w:rPr>
        <w:t> </w:t>
      </w:r>
      <w:r>
        <w:rPr>
          <w:color w:val="231F20"/>
        </w:rPr>
        <w:t>EP&amp;A</w:t>
      </w:r>
      <w:r>
        <w:rPr>
          <w:color w:val="231F20"/>
          <w:spacing w:val="-7"/>
        </w:rPr>
        <w:t> </w:t>
      </w:r>
      <w:r>
        <w:rPr>
          <w:color w:val="231F20"/>
        </w:rPr>
        <w:t>Act</w:t>
      </w:r>
      <w:r>
        <w:rPr>
          <w:color w:val="231F20"/>
          <w:spacing w:val="10"/>
        </w:rPr>
        <w:t> </w:t>
      </w:r>
      <w:r>
        <w:rPr>
          <w:color w:val="231F20"/>
        </w:rPr>
        <w:t>will</w:t>
      </w:r>
      <w:r>
        <w:rPr>
          <w:color w:val="231F20"/>
          <w:spacing w:val="10"/>
        </w:rPr>
        <w:t> </w:t>
      </w:r>
      <w:r>
        <w:rPr>
          <w:color w:val="231F20"/>
        </w:rPr>
        <w:t>require</w:t>
      </w:r>
      <w:r>
        <w:rPr>
          <w:color w:val="231F20"/>
          <w:spacing w:val="10"/>
        </w:rPr>
        <w:t> </w:t>
      </w:r>
      <w:r>
        <w:rPr>
          <w:color w:val="231F20"/>
        </w:rPr>
        <w:t>Council</w:t>
      </w:r>
      <w:r>
        <w:rPr>
          <w:color w:val="231F20"/>
          <w:spacing w:val="10"/>
        </w:rPr>
        <w:t> </w:t>
      </w:r>
      <w:r>
        <w:rPr>
          <w:color w:val="231F20"/>
        </w:rPr>
        <w:t>to</w:t>
      </w:r>
      <w:r>
        <w:rPr>
          <w:color w:val="231F20"/>
          <w:spacing w:val="10"/>
        </w:rPr>
        <w:t> </w:t>
      </w:r>
      <w:r>
        <w:rPr>
          <w:color w:val="231F20"/>
        </w:rPr>
        <w:t>review</w:t>
      </w:r>
      <w:r>
        <w:rPr>
          <w:color w:val="231F20"/>
          <w:spacing w:val="10"/>
        </w:rPr>
        <w:t> </w:t>
      </w:r>
      <w:r>
        <w:rPr>
          <w:color w:val="231F20"/>
        </w:rPr>
        <w:t>how</w:t>
      </w:r>
      <w:r>
        <w:rPr>
          <w:color w:val="231F20"/>
          <w:spacing w:val="10"/>
        </w:rPr>
        <w:t> </w:t>
      </w:r>
      <w:r>
        <w:rPr>
          <w:color w:val="231F20"/>
        </w:rPr>
        <w:t>the</w:t>
      </w:r>
      <w:r>
        <w:rPr>
          <w:color w:val="231F20"/>
          <w:spacing w:val="6"/>
        </w:rPr>
        <w:t> </w:t>
      </w:r>
      <w:r>
        <w:rPr>
          <w:color w:val="231F20"/>
        </w:rPr>
        <w:t>TPO</w:t>
      </w:r>
      <w:r>
        <w:rPr>
          <w:color w:val="231F20"/>
          <w:spacing w:val="10"/>
        </w:rPr>
        <w:t> </w:t>
      </w:r>
      <w:r>
        <w:rPr>
          <w:color w:val="231F20"/>
        </w:rPr>
        <w:t>is</w:t>
      </w:r>
      <w:r>
        <w:rPr>
          <w:color w:val="231F20"/>
          <w:spacing w:val="10"/>
        </w:rPr>
        <w:t> </w:t>
      </w:r>
      <w:r>
        <w:rPr>
          <w:color w:val="231F20"/>
        </w:rPr>
        <w:t>enacted.</w:t>
      </w:r>
    </w:p>
    <w:p>
      <w:pPr>
        <w:pStyle w:val="BodyText"/>
        <w:spacing w:before="5"/>
        <w:rPr>
          <w:sz w:val="26"/>
        </w:rPr>
      </w:pPr>
    </w:p>
    <w:p>
      <w:pPr>
        <w:pStyle w:val="BodyText"/>
        <w:ind w:left="3791"/>
      </w:pPr>
      <w:r>
        <w:rPr>
          <w:color w:val="231F20"/>
        </w:rPr>
        <w:t>The Model Provisions Section 8 (2) dictates</w:t>
      </w:r>
    </w:p>
    <w:p>
      <w:pPr>
        <w:pStyle w:val="BodyText"/>
        <w:rPr>
          <w:sz w:val="20"/>
        </w:rPr>
      </w:pPr>
    </w:p>
    <w:p>
      <w:pPr>
        <w:spacing w:line="348" w:lineRule="auto" w:before="164"/>
        <w:ind w:left="4358" w:right="1039" w:firstLine="0"/>
        <w:jc w:val="left"/>
        <w:rPr>
          <w:i/>
          <w:sz w:val="18"/>
        </w:rPr>
      </w:pPr>
      <w:r>
        <w:rPr>
          <w:i/>
          <w:color w:val="231F20"/>
          <w:sz w:val="18"/>
        </w:rPr>
        <w:t>“a tree preservation order may prohibit the ring-barking, cutting down, topping, </w:t>
      </w:r>
      <w:r>
        <w:rPr>
          <w:i/>
          <w:color w:val="231F20"/>
          <w:sz w:val="18"/>
        </w:rPr>
        <w:t>lopping, removing, injuring or wilful destruction of any tree or trees specified in </w:t>
      </w:r>
      <w:r>
        <w:rPr>
          <w:i/>
          <w:color w:val="231F20"/>
          <w:spacing w:val="1"/>
          <w:sz w:val="18"/>
        </w:rPr>
        <w:t>the </w:t>
      </w:r>
      <w:r>
        <w:rPr>
          <w:i/>
          <w:color w:val="231F20"/>
          <w:sz w:val="18"/>
        </w:rPr>
        <w:t>order except with the consent of the council and any such consent may be given subject to such conditions as the council thinks fit. Persons who  contravene  or causes</w:t>
      </w:r>
      <w:r>
        <w:rPr>
          <w:i/>
          <w:color w:val="231F20"/>
          <w:spacing w:val="10"/>
          <w:sz w:val="18"/>
        </w:rPr>
        <w:t> </w:t>
      </w:r>
      <w:r>
        <w:rPr>
          <w:i/>
          <w:color w:val="231F20"/>
          <w:sz w:val="18"/>
        </w:rPr>
        <w:t>or</w:t>
      </w:r>
      <w:r>
        <w:rPr>
          <w:i/>
          <w:color w:val="231F20"/>
          <w:spacing w:val="10"/>
          <w:sz w:val="18"/>
        </w:rPr>
        <w:t> </w:t>
      </w:r>
      <w:r>
        <w:rPr>
          <w:i/>
          <w:color w:val="231F20"/>
          <w:sz w:val="18"/>
        </w:rPr>
        <w:t>permits</w:t>
      </w:r>
      <w:r>
        <w:rPr>
          <w:i/>
          <w:color w:val="231F20"/>
          <w:spacing w:val="10"/>
          <w:sz w:val="18"/>
        </w:rPr>
        <w:t> </w:t>
      </w:r>
      <w:r>
        <w:rPr>
          <w:i/>
          <w:color w:val="231F20"/>
          <w:sz w:val="18"/>
        </w:rPr>
        <w:t>to</w:t>
      </w:r>
      <w:r>
        <w:rPr>
          <w:i/>
          <w:color w:val="231F20"/>
          <w:spacing w:val="10"/>
          <w:sz w:val="18"/>
        </w:rPr>
        <w:t> </w:t>
      </w:r>
      <w:r>
        <w:rPr>
          <w:i/>
          <w:color w:val="231F20"/>
          <w:sz w:val="18"/>
        </w:rPr>
        <w:t>be</w:t>
      </w:r>
      <w:r>
        <w:rPr>
          <w:i/>
          <w:color w:val="231F20"/>
          <w:spacing w:val="10"/>
          <w:sz w:val="18"/>
        </w:rPr>
        <w:t> </w:t>
      </w:r>
      <w:r>
        <w:rPr>
          <w:i/>
          <w:color w:val="231F20"/>
          <w:sz w:val="18"/>
        </w:rPr>
        <w:t>contravened</w:t>
      </w:r>
      <w:r>
        <w:rPr>
          <w:i/>
          <w:color w:val="231F20"/>
          <w:spacing w:val="10"/>
          <w:sz w:val="18"/>
        </w:rPr>
        <w:t> </w:t>
      </w:r>
      <w:r>
        <w:rPr>
          <w:i/>
          <w:color w:val="231F20"/>
          <w:sz w:val="18"/>
        </w:rPr>
        <w:t>shall</w:t>
      </w:r>
      <w:r>
        <w:rPr>
          <w:i/>
          <w:color w:val="231F20"/>
          <w:spacing w:val="10"/>
          <w:sz w:val="18"/>
        </w:rPr>
        <w:t> </w:t>
      </w:r>
      <w:r>
        <w:rPr>
          <w:i/>
          <w:color w:val="231F20"/>
          <w:sz w:val="18"/>
        </w:rPr>
        <w:t>be</w:t>
      </w:r>
      <w:r>
        <w:rPr>
          <w:i/>
          <w:color w:val="231F20"/>
          <w:spacing w:val="10"/>
          <w:sz w:val="18"/>
        </w:rPr>
        <w:t> </w:t>
      </w:r>
      <w:r>
        <w:rPr>
          <w:i/>
          <w:color w:val="231F20"/>
          <w:sz w:val="18"/>
        </w:rPr>
        <w:t>guilty</w:t>
      </w:r>
      <w:r>
        <w:rPr>
          <w:i/>
          <w:color w:val="231F20"/>
          <w:spacing w:val="10"/>
          <w:sz w:val="18"/>
        </w:rPr>
        <w:t> </w:t>
      </w:r>
      <w:r>
        <w:rPr>
          <w:i/>
          <w:color w:val="231F20"/>
          <w:sz w:val="18"/>
        </w:rPr>
        <w:t>of</w:t>
      </w:r>
      <w:r>
        <w:rPr>
          <w:i/>
          <w:color w:val="231F20"/>
          <w:spacing w:val="10"/>
          <w:sz w:val="18"/>
        </w:rPr>
        <w:t> </w:t>
      </w:r>
      <w:r>
        <w:rPr>
          <w:i/>
          <w:color w:val="231F20"/>
          <w:sz w:val="18"/>
        </w:rPr>
        <w:t>an</w:t>
      </w:r>
      <w:r>
        <w:rPr>
          <w:i/>
          <w:color w:val="231F20"/>
          <w:spacing w:val="10"/>
          <w:sz w:val="18"/>
        </w:rPr>
        <w:t> </w:t>
      </w:r>
      <w:r>
        <w:rPr>
          <w:i/>
          <w:color w:val="231F20"/>
          <w:sz w:val="18"/>
        </w:rPr>
        <w:t>offence.”</w:t>
      </w:r>
    </w:p>
    <w:p>
      <w:pPr>
        <w:pStyle w:val="BodyText"/>
        <w:spacing w:before="4"/>
        <w:rPr>
          <w:i/>
          <w:sz w:val="26"/>
        </w:rPr>
      </w:pPr>
    </w:p>
    <w:p>
      <w:pPr>
        <w:pStyle w:val="BodyText"/>
        <w:spacing w:line="348" w:lineRule="auto" w:before="1"/>
        <w:ind w:left="3791" w:right="812"/>
      </w:pPr>
      <w:r>
        <w:rPr>
          <w:color w:val="231F20"/>
        </w:rPr>
        <w:t>Council does issue Penalty Infringement Notices for breaches of the TPO where th breach does    not warrant prosecution through the courts.</w:t>
      </w:r>
    </w:p>
    <w:p>
      <w:pPr>
        <w:pStyle w:val="BodyText"/>
        <w:spacing w:before="6"/>
        <w:rPr>
          <w:sz w:val="24"/>
        </w:rPr>
      </w:pPr>
    </w:p>
    <w:p>
      <w:pPr>
        <w:pStyle w:val="Heading3"/>
        <w:ind w:left="3791" w:firstLine="0"/>
      </w:pPr>
      <w:r>
        <w:rPr>
          <w:color w:val="231F20"/>
        </w:rPr>
        <w:t>Marrickville Council’s Tree Preservation Order (TPO) does define;</w:t>
      </w:r>
    </w:p>
    <w:p>
      <w:pPr>
        <w:pStyle w:val="ListParagraph"/>
        <w:numPr>
          <w:ilvl w:val="0"/>
          <w:numId w:val="29"/>
        </w:numPr>
        <w:tabs>
          <w:tab w:pos="4512" w:val="left" w:leader="none"/>
        </w:tabs>
        <w:spacing w:line="240" w:lineRule="auto" w:before="89" w:after="0"/>
        <w:ind w:left="4511" w:right="0" w:hanging="238"/>
        <w:jc w:val="left"/>
        <w:rPr>
          <w:sz w:val="18"/>
        </w:rPr>
      </w:pPr>
      <w:r>
        <w:rPr>
          <w:color w:val="231F20"/>
          <w:sz w:val="18"/>
        </w:rPr>
        <w:t>what</w:t>
      </w:r>
      <w:r>
        <w:rPr>
          <w:color w:val="231F20"/>
          <w:spacing w:val="10"/>
          <w:sz w:val="18"/>
        </w:rPr>
        <w:t> </w:t>
      </w:r>
      <w:r>
        <w:rPr>
          <w:color w:val="231F20"/>
          <w:sz w:val="18"/>
        </w:rPr>
        <w:t>constitutes</w:t>
      </w:r>
      <w:r>
        <w:rPr>
          <w:color w:val="231F20"/>
          <w:spacing w:val="10"/>
          <w:sz w:val="18"/>
        </w:rPr>
        <w:t> </w:t>
      </w:r>
      <w:r>
        <w:rPr>
          <w:color w:val="231F20"/>
          <w:sz w:val="18"/>
        </w:rPr>
        <w:t>a</w:t>
      </w:r>
      <w:r>
        <w:rPr>
          <w:color w:val="231F20"/>
          <w:spacing w:val="10"/>
          <w:sz w:val="18"/>
        </w:rPr>
        <w:t> </w:t>
      </w:r>
      <w:r>
        <w:rPr>
          <w:color w:val="231F20"/>
          <w:sz w:val="18"/>
        </w:rPr>
        <w:t>tree</w:t>
      </w:r>
      <w:r>
        <w:rPr>
          <w:color w:val="231F20"/>
          <w:spacing w:val="10"/>
          <w:sz w:val="18"/>
        </w:rPr>
        <w:t> </w:t>
      </w:r>
      <w:r>
        <w:rPr>
          <w:color w:val="231F20"/>
          <w:sz w:val="18"/>
        </w:rPr>
        <w:t>within</w:t>
      </w:r>
      <w:r>
        <w:rPr>
          <w:color w:val="231F20"/>
          <w:spacing w:val="10"/>
          <w:sz w:val="18"/>
        </w:rPr>
        <w:t> </w:t>
      </w:r>
      <w:r>
        <w:rPr>
          <w:color w:val="231F20"/>
          <w:sz w:val="18"/>
        </w:rPr>
        <w:t>the</w:t>
      </w:r>
      <w:r>
        <w:rPr>
          <w:color w:val="231F20"/>
          <w:spacing w:val="10"/>
          <w:sz w:val="18"/>
        </w:rPr>
        <w:t> </w:t>
      </w:r>
      <w:r>
        <w:rPr>
          <w:color w:val="231F20"/>
          <w:sz w:val="18"/>
        </w:rPr>
        <w:t>Marrickville</w:t>
      </w:r>
      <w:r>
        <w:rPr>
          <w:color w:val="231F20"/>
          <w:spacing w:val="10"/>
          <w:sz w:val="18"/>
        </w:rPr>
        <w:t> </w:t>
      </w:r>
      <w:r>
        <w:rPr>
          <w:color w:val="231F20"/>
          <w:sz w:val="18"/>
        </w:rPr>
        <w:t>Local</w:t>
      </w:r>
      <w:r>
        <w:rPr>
          <w:color w:val="231F20"/>
          <w:spacing w:val="10"/>
          <w:sz w:val="18"/>
        </w:rPr>
        <w:t> </w:t>
      </w:r>
      <w:r>
        <w:rPr>
          <w:color w:val="231F20"/>
          <w:sz w:val="18"/>
        </w:rPr>
        <w:t>Government</w:t>
      </w:r>
      <w:r>
        <w:rPr>
          <w:color w:val="231F20"/>
          <w:spacing w:val="0"/>
          <w:sz w:val="18"/>
        </w:rPr>
        <w:t> </w:t>
      </w:r>
      <w:r>
        <w:rPr>
          <w:color w:val="231F20"/>
          <w:sz w:val="18"/>
        </w:rPr>
        <w:t>Area,</w:t>
      </w:r>
    </w:p>
    <w:p>
      <w:pPr>
        <w:pStyle w:val="ListParagraph"/>
        <w:numPr>
          <w:ilvl w:val="0"/>
          <w:numId w:val="29"/>
        </w:numPr>
        <w:tabs>
          <w:tab w:pos="4512" w:val="left" w:leader="none"/>
        </w:tabs>
        <w:spacing w:line="240" w:lineRule="auto" w:before="93" w:after="0"/>
        <w:ind w:left="4511" w:right="0" w:hanging="238"/>
        <w:jc w:val="left"/>
        <w:rPr>
          <w:sz w:val="18"/>
        </w:rPr>
      </w:pPr>
      <w:r>
        <w:rPr>
          <w:color w:val="231F20"/>
          <w:sz w:val="18"/>
        </w:rPr>
        <w:t>what</w:t>
      </w:r>
      <w:r>
        <w:rPr>
          <w:color w:val="231F20"/>
          <w:spacing w:val="7"/>
          <w:sz w:val="18"/>
        </w:rPr>
        <w:t> </w:t>
      </w:r>
      <w:r>
        <w:rPr>
          <w:color w:val="231F20"/>
          <w:sz w:val="18"/>
        </w:rPr>
        <w:t>trees</w:t>
      </w:r>
      <w:r>
        <w:rPr>
          <w:color w:val="231F20"/>
          <w:spacing w:val="7"/>
          <w:sz w:val="18"/>
        </w:rPr>
        <w:t> </w:t>
      </w:r>
      <w:r>
        <w:rPr>
          <w:color w:val="231F20"/>
          <w:sz w:val="18"/>
        </w:rPr>
        <w:t>are</w:t>
      </w:r>
      <w:r>
        <w:rPr>
          <w:color w:val="231F20"/>
          <w:spacing w:val="7"/>
          <w:sz w:val="18"/>
        </w:rPr>
        <w:t> </w:t>
      </w:r>
      <w:r>
        <w:rPr>
          <w:color w:val="231F20"/>
          <w:sz w:val="18"/>
        </w:rPr>
        <w:t>covered</w:t>
      </w:r>
      <w:r>
        <w:rPr>
          <w:color w:val="231F20"/>
          <w:spacing w:val="7"/>
          <w:sz w:val="18"/>
        </w:rPr>
        <w:t> </w:t>
      </w:r>
      <w:r>
        <w:rPr>
          <w:color w:val="231F20"/>
          <w:sz w:val="18"/>
        </w:rPr>
        <w:t>by</w:t>
      </w:r>
      <w:r>
        <w:rPr>
          <w:color w:val="231F20"/>
          <w:spacing w:val="7"/>
          <w:sz w:val="18"/>
        </w:rPr>
        <w:t> </w:t>
      </w:r>
      <w:r>
        <w:rPr>
          <w:color w:val="231F20"/>
          <w:sz w:val="18"/>
        </w:rPr>
        <w:t>the</w:t>
      </w:r>
      <w:r>
        <w:rPr>
          <w:color w:val="231F20"/>
          <w:spacing w:val="5"/>
          <w:sz w:val="18"/>
        </w:rPr>
        <w:t> </w:t>
      </w:r>
      <w:r>
        <w:rPr>
          <w:color w:val="231F20"/>
          <w:sz w:val="18"/>
        </w:rPr>
        <w:t>TPO</w:t>
      </w:r>
      <w:r>
        <w:rPr>
          <w:color w:val="231F20"/>
          <w:spacing w:val="7"/>
          <w:sz w:val="18"/>
        </w:rPr>
        <w:t> </w:t>
      </w:r>
      <w:r>
        <w:rPr>
          <w:color w:val="231F20"/>
          <w:sz w:val="18"/>
        </w:rPr>
        <w:t>and</w:t>
      </w:r>
      <w:r>
        <w:rPr>
          <w:color w:val="231F20"/>
          <w:spacing w:val="7"/>
          <w:sz w:val="18"/>
        </w:rPr>
        <w:t> </w:t>
      </w:r>
      <w:r>
        <w:rPr>
          <w:color w:val="231F20"/>
          <w:sz w:val="18"/>
        </w:rPr>
        <w:t>those</w:t>
      </w:r>
      <w:r>
        <w:rPr>
          <w:color w:val="231F20"/>
          <w:spacing w:val="7"/>
          <w:sz w:val="18"/>
        </w:rPr>
        <w:t> </w:t>
      </w:r>
      <w:r>
        <w:rPr>
          <w:color w:val="231F20"/>
          <w:sz w:val="18"/>
        </w:rPr>
        <w:t>that</w:t>
      </w:r>
      <w:r>
        <w:rPr>
          <w:color w:val="231F20"/>
          <w:spacing w:val="7"/>
          <w:sz w:val="18"/>
        </w:rPr>
        <w:t> </w:t>
      </w:r>
      <w:r>
        <w:rPr>
          <w:color w:val="231F20"/>
          <w:sz w:val="18"/>
        </w:rPr>
        <w:t>are</w:t>
      </w:r>
      <w:r>
        <w:rPr>
          <w:color w:val="231F20"/>
          <w:spacing w:val="7"/>
          <w:sz w:val="18"/>
        </w:rPr>
        <w:t> </w:t>
      </w:r>
      <w:r>
        <w:rPr>
          <w:color w:val="231F20"/>
          <w:sz w:val="18"/>
        </w:rPr>
        <w:t>not,</w:t>
      </w:r>
    </w:p>
    <w:p>
      <w:pPr>
        <w:pStyle w:val="ListParagraph"/>
        <w:numPr>
          <w:ilvl w:val="0"/>
          <w:numId w:val="29"/>
        </w:numPr>
        <w:tabs>
          <w:tab w:pos="4512" w:val="left" w:leader="none"/>
        </w:tabs>
        <w:spacing w:line="240" w:lineRule="auto" w:before="93" w:after="0"/>
        <w:ind w:left="4511" w:right="0" w:hanging="238"/>
        <w:jc w:val="left"/>
        <w:rPr>
          <w:sz w:val="18"/>
        </w:rPr>
      </w:pPr>
      <w:r>
        <w:rPr>
          <w:color w:val="231F20"/>
          <w:sz w:val="18"/>
        </w:rPr>
        <w:t>what</w:t>
      </w:r>
      <w:r>
        <w:rPr>
          <w:color w:val="231F20"/>
          <w:spacing w:val="7"/>
          <w:sz w:val="18"/>
        </w:rPr>
        <w:t> </w:t>
      </w:r>
      <w:r>
        <w:rPr>
          <w:color w:val="231F20"/>
          <w:sz w:val="18"/>
        </w:rPr>
        <w:t>work</w:t>
      </w:r>
      <w:r>
        <w:rPr>
          <w:color w:val="231F20"/>
          <w:spacing w:val="7"/>
          <w:sz w:val="18"/>
        </w:rPr>
        <w:t> </w:t>
      </w:r>
      <w:r>
        <w:rPr>
          <w:color w:val="231F20"/>
          <w:sz w:val="18"/>
        </w:rPr>
        <w:t>is</w:t>
      </w:r>
      <w:r>
        <w:rPr>
          <w:color w:val="231F20"/>
          <w:spacing w:val="7"/>
          <w:sz w:val="18"/>
        </w:rPr>
        <w:t> </w:t>
      </w:r>
      <w:r>
        <w:rPr>
          <w:color w:val="231F20"/>
          <w:sz w:val="18"/>
        </w:rPr>
        <w:t>restricted</w:t>
      </w:r>
      <w:r>
        <w:rPr>
          <w:color w:val="231F20"/>
          <w:spacing w:val="7"/>
          <w:sz w:val="18"/>
        </w:rPr>
        <w:t> </w:t>
      </w:r>
      <w:r>
        <w:rPr>
          <w:color w:val="231F20"/>
          <w:sz w:val="18"/>
        </w:rPr>
        <w:t>on</w:t>
      </w:r>
      <w:r>
        <w:rPr>
          <w:color w:val="231F20"/>
          <w:spacing w:val="7"/>
          <w:sz w:val="18"/>
        </w:rPr>
        <w:t> </w:t>
      </w:r>
      <w:r>
        <w:rPr>
          <w:color w:val="231F20"/>
          <w:sz w:val="18"/>
        </w:rPr>
        <w:t>or</w:t>
      </w:r>
      <w:r>
        <w:rPr>
          <w:color w:val="231F20"/>
          <w:spacing w:val="7"/>
          <w:sz w:val="18"/>
        </w:rPr>
        <w:t> </w:t>
      </w:r>
      <w:r>
        <w:rPr>
          <w:color w:val="231F20"/>
          <w:sz w:val="18"/>
        </w:rPr>
        <w:t>around</w:t>
      </w:r>
      <w:r>
        <w:rPr>
          <w:color w:val="231F20"/>
          <w:spacing w:val="7"/>
          <w:sz w:val="18"/>
        </w:rPr>
        <w:t> </w:t>
      </w:r>
      <w:r>
        <w:rPr>
          <w:color w:val="231F20"/>
          <w:sz w:val="18"/>
        </w:rPr>
        <w:t>trees,</w:t>
      </w:r>
      <w:r>
        <w:rPr>
          <w:color w:val="231F20"/>
          <w:spacing w:val="7"/>
          <w:sz w:val="18"/>
        </w:rPr>
        <w:t> </w:t>
      </w:r>
      <w:r>
        <w:rPr>
          <w:color w:val="231F20"/>
          <w:spacing w:val="1"/>
          <w:sz w:val="18"/>
        </w:rPr>
        <w:t>and</w:t>
      </w:r>
    </w:p>
    <w:p>
      <w:pPr>
        <w:pStyle w:val="ListParagraph"/>
        <w:numPr>
          <w:ilvl w:val="0"/>
          <w:numId w:val="29"/>
        </w:numPr>
        <w:tabs>
          <w:tab w:pos="4512" w:val="left" w:leader="none"/>
        </w:tabs>
        <w:spacing w:line="278" w:lineRule="auto" w:before="93" w:after="0"/>
        <w:ind w:left="4511" w:right="1065" w:hanging="238"/>
        <w:jc w:val="left"/>
        <w:rPr>
          <w:sz w:val="18"/>
        </w:rPr>
      </w:pPr>
      <w:r>
        <w:rPr>
          <w:color w:val="231F20"/>
          <w:sz w:val="18"/>
        </w:rPr>
        <w:t>what information is required by an application for a Council officer to undertake    an</w:t>
      </w:r>
      <w:r>
        <w:rPr>
          <w:color w:val="231F20"/>
          <w:spacing w:val="6"/>
          <w:sz w:val="18"/>
        </w:rPr>
        <w:t> </w:t>
      </w:r>
      <w:r>
        <w:rPr>
          <w:color w:val="231F20"/>
          <w:sz w:val="18"/>
        </w:rPr>
        <w:t>inspection.</w:t>
      </w:r>
    </w:p>
    <w:p>
      <w:pPr>
        <w:spacing w:after="0" w:line="278" w:lineRule="auto"/>
        <w:jc w:val="left"/>
        <w:rPr>
          <w:sz w:val="18"/>
        </w:rPr>
        <w:sectPr>
          <w:pgSz w:w="11910" w:h="16840"/>
          <w:pgMar w:header="0" w:footer="779" w:top="920" w:bottom="960" w:left="460" w:right="440"/>
        </w:sectPr>
      </w:pPr>
    </w:p>
    <w:p>
      <w:pPr>
        <w:tabs>
          <w:tab w:pos="2447" w:val="left" w:leader="none"/>
        </w:tabs>
        <w:spacing w:line="631" w:lineRule="exact" w:before="126"/>
        <w:ind w:left="0" w:right="124" w:firstLine="0"/>
        <w:jc w:val="right"/>
        <w:rPr>
          <w:b/>
          <w:sz w:val="56"/>
        </w:rPr>
      </w:pPr>
      <w:r>
        <w:rPr/>
        <w:pict>
          <v:group style="position:absolute;margin-left:42.5201pt;margin-top:28.919714pt;width:524.450pt;height:771.55pt;mso-position-horizontal-relative:page;mso-position-vertical-relative:page;z-index:-94024"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w10:wrap type="none"/>
          </v:group>
        </w:pict>
      </w:r>
      <w:r>
        <w:rPr/>
        <w:pict>
          <v:shape style="position:absolute;margin-left:533.419189pt;margin-top:3.630104pt;width:19.5pt;height:55.1pt;mso-position-horizontal-relative:page;mso-position-vertical-relative:paragraph;z-index:-94000"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i/>
          <w:color w:val="231F20"/>
          <w:spacing w:val="6"/>
          <w:sz w:val="24"/>
        </w:rPr>
        <w:t>Marrickville</w:t>
      </w:r>
      <w:r>
        <w:rPr>
          <w:i/>
          <w:color w:val="231F20"/>
          <w:spacing w:val="22"/>
          <w:sz w:val="24"/>
        </w:rPr>
        <w:t> </w:t>
      </w:r>
      <w:r>
        <w:rPr>
          <w:i/>
          <w:color w:val="231F20"/>
          <w:spacing w:val="5"/>
          <w:sz w:val="24"/>
        </w:rPr>
        <w:t>Council</w:t>
        <w:tab/>
      </w:r>
      <w:r>
        <w:rPr>
          <w:b/>
          <w:color w:val="808285"/>
          <w:spacing w:val="-1"/>
          <w:position w:val="2"/>
          <w:sz w:val="56"/>
        </w:rPr>
        <w:t>d</w:t>
      </w:r>
    </w:p>
    <w:p>
      <w:pPr>
        <w:spacing w:line="264" w:lineRule="exact" w:before="0"/>
        <w:ind w:left="0" w:right="964" w:firstLine="0"/>
        <w:jc w:val="right"/>
        <w:rPr>
          <w:b/>
          <w:i/>
          <w:sz w:val="24"/>
        </w:rPr>
      </w:pPr>
      <w:r>
        <w:rPr>
          <w:b/>
          <w:i/>
          <w:color w:val="231F20"/>
          <w:sz w:val="24"/>
        </w:rPr>
        <w:t>Urban Forest Strategy</w:t>
      </w:r>
    </w:p>
    <w:p>
      <w:pPr>
        <w:pStyle w:val="BodyText"/>
        <w:rPr>
          <w:b/>
          <w:i/>
          <w:sz w:val="20"/>
        </w:rPr>
      </w:pPr>
    </w:p>
    <w:p>
      <w:pPr>
        <w:pStyle w:val="BodyText"/>
        <w:rPr>
          <w:b/>
          <w:i/>
          <w:sz w:val="20"/>
        </w:rPr>
      </w:pPr>
    </w:p>
    <w:p>
      <w:pPr>
        <w:pStyle w:val="BodyText"/>
        <w:spacing w:before="3"/>
        <w:rPr>
          <w:b/>
          <w:i/>
          <w:sz w:val="19"/>
        </w:rPr>
      </w:pPr>
    </w:p>
    <w:p>
      <w:pPr>
        <w:pStyle w:val="BodyText"/>
        <w:spacing w:line="348" w:lineRule="auto"/>
        <w:ind w:left="390" w:right="4087"/>
      </w:pPr>
      <w:r>
        <w:rPr>
          <w:color w:val="231F20"/>
        </w:rPr>
        <w:t>Council’s TPO restricts tree owners and neighbours  from  undertaking  any  work  including excavation on and around a tree without the signed approval of both Council and the owner of </w:t>
      </w:r>
      <w:r>
        <w:rPr>
          <w:color w:val="231F20"/>
          <w:spacing w:val="1"/>
        </w:rPr>
        <w:t>the  </w:t>
      </w:r>
      <w:r>
        <w:rPr>
          <w:color w:val="231F20"/>
        </w:rPr>
        <w:t>tree.</w:t>
      </w:r>
    </w:p>
    <w:p>
      <w:pPr>
        <w:pStyle w:val="BodyText"/>
        <w:spacing w:before="3"/>
        <w:rPr>
          <w:sz w:val="26"/>
        </w:rPr>
      </w:pPr>
    </w:p>
    <w:p>
      <w:pPr>
        <w:pStyle w:val="BodyText"/>
        <w:spacing w:line="348" w:lineRule="auto" w:before="1"/>
        <w:ind w:left="390" w:right="4191"/>
      </w:pPr>
      <w:r>
        <w:rPr>
          <w:color w:val="231F20"/>
        </w:rPr>
        <w:t>The need for approval from the owner of the tree for  works  to  be  undertaken  often  leads  to disputes between neighbours. Tree management staff are regularly requested to intervene in such disputes. However Council officers cannot force a tree owner to undertake works unless the tree         is a significant risk to the public or property. The majority of issues between neighbours and trees     are considered a civil matter. When such cases arise residents are informed to seek legal </w:t>
      </w:r>
      <w:r>
        <w:rPr>
          <w:color w:val="231F20"/>
          <w:spacing w:val="1"/>
        </w:rPr>
        <w:t>advice       </w:t>
      </w:r>
      <w:r>
        <w:rPr>
          <w:color w:val="231F20"/>
        </w:rPr>
        <w:t>or</w:t>
      </w:r>
      <w:r>
        <w:rPr>
          <w:color w:val="231F20"/>
          <w:spacing w:val="15"/>
        </w:rPr>
        <w:t> </w:t>
      </w:r>
      <w:r>
        <w:rPr>
          <w:color w:val="231F20"/>
        </w:rPr>
        <w:t>mediate</w:t>
      </w:r>
      <w:r>
        <w:rPr>
          <w:color w:val="231F20"/>
          <w:spacing w:val="15"/>
        </w:rPr>
        <w:t> </w:t>
      </w:r>
      <w:r>
        <w:rPr>
          <w:color w:val="231F20"/>
        </w:rPr>
        <w:t>with</w:t>
      </w:r>
      <w:r>
        <w:rPr>
          <w:color w:val="231F20"/>
          <w:spacing w:val="15"/>
        </w:rPr>
        <w:t> </w:t>
      </w:r>
      <w:r>
        <w:rPr>
          <w:color w:val="231F20"/>
        </w:rPr>
        <w:t>the</w:t>
      </w:r>
      <w:r>
        <w:rPr>
          <w:color w:val="231F20"/>
          <w:spacing w:val="15"/>
        </w:rPr>
        <w:t> </w:t>
      </w:r>
      <w:r>
        <w:rPr>
          <w:color w:val="231F20"/>
        </w:rPr>
        <w:t>aid</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Community</w:t>
      </w:r>
      <w:r>
        <w:rPr>
          <w:color w:val="231F20"/>
          <w:spacing w:val="15"/>
        </w:rPr>
        <w:t> </w:t>
      </w:r>
      <w:r>
        <w:rPr>
          <w:color w:val="231F20"/>
        </w:rPr>
        <w:t>Justice</w:t>
      </w:r>
      <w:r>
        <w:rPr>
          <w:color w:val="231F20"/>
          <w:spacing w:val="15"/>
        </w:rPr>
        <w:t> </w:t>
      </w:r>
      <w:r>
        <w:rPr>
          <w:color w:val="231F20"/>
        </w:rPr>
        <w:t>Centre</w:t>
      </w:r>
      <w:r>
        <w:rPr>
          <w:color w:val="231F20"/>
          <w:spacing w:val="15"/>
        </w:rPr>
        <w:t> </w:t>
      </w:r>
      <w:r>
        <w:rPr>
          <w:color w:val="231F20"/>
        </w:rPr>
        <w:t>to</w:t>
      </w:r>
      <w:r>
        <w:rPr>
          <w:color w:val="231F20"/>
          <w:spacing w:val="15"/>
        </w:rPr>
        <w:t> </w:t>
      </w:r>
      <w:r>
        <w:rPr>
          <w:color w:val="231F20"/>
        </w:rPr>
        <w:t>resolve</w:t>
      </w:r>
      <w:r>
        <w:rPr>
          <w:color w:val="231F20"/>
          <w:spacing w:val="15"/>
        </w:rPr>
        <w:t> </w:t>
      </w:r>
      <w:r>
        <w:rPr>
          <w:color w:val="231F20"/>
        </w:rPr>
        <w:t>the</w:t>
      </w:r>
      <w:r>
        <w:rPr>
          <w:color w:val="231F20"/>
          <w:spacing w:val="15"/>
        </w:rPr>
        <w:t> </w:t>
      </w:r>
      <w:r>
        <w:rPr>
          <w:color w:val="231F20"/>
        </w:rPr>
        <w:t>dispute.</w:t>
      </w:r>
      <w:r>
        <w:rPr>
          <w:color w:val="231F20"/>
          <w:spacing w:val="15"/>
        </w:rPr>
        <w:t> </w:t>
      </w:r>
      <w:r>
        <w:rPr>
          <w:color w:val="231F20"/>
        </w:rPr>
        <w:t>Often</w:t>
      </w:r>
      <w:r>
        <w:rPr>
          <w:color w:val="231F20"/>
          <w:spacing w:val="15"/>
        </w:rPr>
        <w:t> </w:t>
      </w:r>
      <w:r>
        <w:rPr>
          <w:color w:val="231F20"/>
        </w:rPr>
        <w:t>disputes</w:t>
      </w:r>
    </w:p>
    <w:p>
      <w:pPr>
        <w:pStyle w:val="BodyText"/>
        <w:spacing w:line="348" w:lineRule="auto" w:before="3"/>
        <w:ind w:left="390" w:right="4087"/>
      </w:pPr>
      <w:r>
        <w:rPr>
          <w:color w:val="231F20"/>
        </w:rPr>
        <w:t>between neighbours are a result of a break down in communication and tree issues may be a small component of the larger issue.</w:t>
      </w:r>
    </w:p>
    <w:p>
      <w:pPr>
        <w:pStyle w:val="BodyText"/>
        <w:spacing w:before="2"/>
        <w:rPr>
          <w:sz w:val="26"/>
        </w:rPr>
      </w:pPr>
    </w:p>
    <w:p>
      <w:pPr>
        <w:pStyle w:val="BodyText"/>
        <w:spacing w:line="348" w:lineRule="auto"/>
        <w:ind w:left="390" w:right="4114"/>
        <w:jc w:val="both"/>
      </w:pPr>
      <w:r>
        <w:rPr>
          <w:color w:val="231F20"/>
        </w:rPr>
        <w:t>Generally tree management staff will not approve works on a tree without the owners consent. Liability issues arise where tree management staff approve such work and that work cannot be undertaken to an acceptable industry practice or to the Australian Standards for the Pruning of Amenity Trees (AS 4373-1996).</w:t>
      </w:r>
    </w:p>
    <w:p>
      <w:pPr>
        <w:pStyle w:val="BodyText"/>
        <w:spacing w:before="4"/>
        <w:rPr>
          <w:sz w:val="26"/>
        </w:rPr>
      </w:pPr>
    </w:p>
    <w:p>
      <w:pPr>
        <w:pStyle w:val="BodyText"/>
        <w:spacing w:line="348" w:lineRule="auto"/>
        <w:ind w:left="390" w:right="3870"/>
        <w:jc w:val="both"/>
      </w:pPr>
      <w:r>
        <w:rPr>
          <w:color w:val="231F20"/>
        </w:rPr>
        <w:t>Trespass is also an issue when approving works on a tree not owned by the applicant. The </w:t>
      </w:r>
      <w:r>
        <w:rPr>
          <w:color w:val="231F20"/>
          <w:spacing w:val="1"/>
        </w:rPr>
        <w:t>growth </w:t>
      </w:r>
      <w:r>
        <w:rPr>
          <w:color w:val="231F20"/>
        </w:rPr>
        <w:t>habit and the methods used to access a tree in restricted environments do not allow an inspecting officer</w:t>
      </w:r>
      <w:r>
        <w:rPr>
          <w:color w:val="231F20"/>
          <w:spacing w:val="10"/>
        </w:rPr>
        <w:t> </w:t>
      </w:r>
      <w:r>
        <w:rPr>
          <w:color w:val="231F20"/>
        </w:rPr>
        <w:t>to</w:t>
      </w:r>
      <w:r>
        <w:rPr>
          <w:color w:val="231F20"/>
          <w:spacing w:val="10"/>
        </w:rPr>
        <w:t> </w:t>
      </w:r>
      <w:r>
        <w:rPr>
          <w:color w:val="231F20"/>
        </w:rPr>
        <w:t>approve</w:t>
      </w:r>
      <w:r>
        <w:rPr>
          <w:color w:val="231F20"/>
          <w:spacing w:val="10"/>
        </w:rPr>
        <w:t> </w:t>
      </w:r>
      <w:r>
        <w:rPr>
          <w:color w:val="231F20"/>
        </w:rPr>
        <w:t>such</w:t>
      </w:r>
      <w:r>
        <w:rPr>
          <w:color w:val="231F20"/>
          <w:spacing w:val="10"/>
        </w:rPr>
        <w:t> </w:t>
      </w:r>
      <w:r>
        <w:rPr>
          <w:color w:val="231F20"/>
        </w:rPr>
        <w:t>work</w:t>
      </w:r>
      <w:r>
        <w:rPr>
          <w:color w:val="231F20"/>
          <w:spacing w:val="10"/>
        </w:rPr>
        <w:t> </w:t>
      </w:r>
      <w:r>
        <w:rPr>
          <w:color w:val="231F20"/>
        </w:rPr>
        <w:t>without</w:t>
      </w:r>
      <w:r>
        <w:rPr>
          <w:color w:val="231F20"/>
          <w:spacing w:val="10"/>
        </w:rPr>
        <w:t> </w:t>
      </w:r>
      <w:r>
        <w:rPr>
          <w:color w:val="231F20"/>
        </w:rPr>
        <w:t>exposing</w:t>
      </w:r>
      <w:r>
        <w:rPr>
          <w:color w:val="231F20"/>
          <w:spacing w:val="10"/>
        </w:rPr>
        <w:t> </w:t>
      </w:r>
      <w:r>
        <w:rPr>
          <w:color w:val="231F20"/>
        </w:rPr>
        <w:t>the</w:t>
      </w:r>
      <w:r>
        <w:rPr>
          <w:color w:val="231F20"/>
          <w:spacing w:val="10"/>
        </w:rPr>
        <w:t> </w:t>
      </w:r>
      <w:r>
        <w:rPr>
          <w:color w:val="231F20"/>
        </w:rPr>
        <w:t>officer</w:t>
      </w:r>
      <w:r>
        <w:rPr>
          <w:color w:val="231F20"/>
          <w:spacing w:val="10"/>
        </w:rPr>
        <w:t> </w:t>
      </w:r>
      <w:r>
        <w:rPr>
          <w:color w:val="231F20"/>
        </w:rPr>
        <w:t>to</w:t>
      </w:r>
      <w:r>
        <w:rPr>
          <w:color w:val="231F20"/>
          <w:spacing w:val="10"/>
        </w:rPr>
        <w:t> </w:t>
      </w:r>
      <w:r>
        <w:rPr>
          <w:color w:val="231F20"/>
        </w:rPr>
        <w:t>trespasses</w:t>
      </w:r>
      <w:r>
        <w:rPr>
          <w:color w:val="231F20"/>
          <w:spacing w:val="10"/>
        </w:rPr>
        <w:t> </w:t>
      </w:r>
      <w:r>
        <w:rPr>
          <w:color w:val="231F20"/>
        </w:rPr>
        <w:t>laws.</w:t>
      </w:r>
    </w:p>
    <w:p>
      <w:pPr>
        <w:pStyle w:val="BodyText"/>
        <w:spacing w:before="3"/>
        <w:rPr>
          <w:sz w:val="26"/>
        </w:rPr>
      </w:pPr>
    </w:p>
    <w:p>
      <w:pPr>
        <w:pStyle w:val="BodyText"/>
        <w:spacing w:line="348" w:lineRule="auto"/>
        <w:ind w:left="390" w:right="4211"/>
      </w:pPr>
      <w:r>
        <w:rPr>
          <w:color w:val="231F20"/>
        </w:rPr>
        <w:t>Under the Access to Neighbouring Land Act 2000, residents can seek approval from the local magistrate to undertake works within an adjacent property. Where a resident has gained </w:t>
      </w:r>
      <w:r>
        <w:rPr>
          <w:color w:val="231F20"/>
          <w:spacing w:val="1"/>
        </w:rPr>
        <w:t>the </w:t>
      </w:r>
      <w:r>
        <w:rPr>
          <w:color w:val="231F20"/>
        </w:rPr>
        <w:t>magistrate’s approval, tree management staff can approve the pruning of a tree where the work is      to</w:t>
      </w:r>
      <w:r>
        <w:rPr>
          <w:color w:val="231F20"/>
          <w:spacing w:val="15"/>
        </w:rPr>
        <w:t> </w:t>
      </w:r>
      <w:r>
        <w:rPr>
          <w:color w:val="231F20"/>
        </w:rPr>
        <w:t>be</w:t>
      </w:r>
      <w:r>
        <w:rPr>
          <w:color w:val="231F20"/>
          <w:spacing w:val="15"/>
        </w:rPr>
        <w:t> </w:t>
      </w:r>
      <w:r>
        <w:rPr>
          <w:color w:val="231F20"/>
        </w:rPr>
        <w:t>undertaken</w:t>
      </w:r>
      <w:r>
        <w:rPr>
          <w:color w:val="231F20"/>
          <w:spacing w:val="15"/>
        </w:rPr>
        <w:t> </w:t>
      </w:r>
      <w:r>
        <w:rPr>
          <w:color w:val="231F20"/>
        </w:rPr>
        <w:t>to</w:t>
      </w:r>
      <w:r>
        <w:rPr>
          <w:color w:val="231F20"/>
          <w:spacing w:val="5"/>
        </w:rPr>
        <w:t> </w:t>
      </w:r>
      <w:r>
        <w:rPr>
          <w:color w:val="231F20"/>
        </w:rPr>
        <w:t>AS</w:t>
      </w:r>
      <w:r>
        <w:rPr>
          <w:color w:val="231F20"/>
          <w:spacing w:val="15"/>
        </w:rPr>
        <w:t> </w:t>
      </w:r>
      <w:r>
        <w:rPr>
          <w:color w:val="231F20"/>
        </w:rPr>
        <w:t>4373-1996</w:t>
      </w:r>
      <w:r>
        <w:rPr>
          <w:color w:val="231F20"/>
          <w:spacing w:val="15"/>
        </w:rPr>
        <w:t> </w:t>
      </w:r>
      <w:r>
        <w:rPr>
          <w:color w:val="231F20"/>
        </w:rPr>
        <w:t>industry</w:t>
      </w:r>
      <w:r>
        <w:rPr>
          <w:color w:val="231F20"/>
          <w:spacing w:val="15"/>
        </w:rPr>
        <w:t> </w:t>
      </w:r>
      <w:r>
        <w:rPr>
          <w:color w:val="231F20"/>
        </w:rPr>
        <w:t>best</w:t>
      </w:r>
      <w:r>
        <w:rPr>
          <w:color w:val="231F20"/>
          <w:spacing w:val="15"/>
        </w:rPr>
        <w:t> </w:t>
      </w:r>
      <w:r>
        <w:rPr>
          <w:color w:val="231F20"/>
        </w:rPr>
        <w:t>practice</w:t>
      </w:r>
      <w:r>
        <w:rPr>
          <w:color w:val="231F20"/>
          <w:spacing w:val="15"/>
        </w:rPr>
        <w:t> </w:t>
      </w:r>
      <w:r>
        <w:rPr>
          <w:color w:val="231F20"/>
        </w:rPr>
        <w:t>and</w:t>
      </w:r>
      <w:r>
        <w:rPr>
          <w:color w:val="231F20"/>
          <w:spacing w:val="15"/>
        </w:rPr>
        <w:t> </w:t>
      </w:r>
      <w:r>
        <w:rPr>
          <w:color w:val="231F20"/>
        </w:rPr>
        <w:t>by</w:t>
      </w:r>
      <w:r>
        <w:rPr>
          <w:color w:val="231F20"/>
          <w:spacing w:val="15"/>
        </w:rPr>
        <w:t> </w:t>
      </w:r>
      <w:r>
        <w:rPr>
          <w:color w:val="231F20"/>
        </w:rPr>
        <w:t>a</w:t>
      </w:r>
      <w:r>
        <w:rPr>
          <w:color w:val="231F20"/>
          <w:spacing w:val="15"/>
        </w:rPr>
        <w:t> </w:t>
      </w:r>
      <w:r>
        <w:rPr>
          <w:color w:val="231F20"/>
        </w:rPr>
        <w:t>suitably</w:t>
      </w:r>
      <w:r>
        <w:rPr>
          <w:color w:val="231F20"/>
          <w:spacing w:val="15"/>
        </w:rPr>
        <w:t> </w:t>
      </w:r>
      <w:r>
        <w:rPr>
          <w:color w:val="231F20"/>
        </w:rPr>
        <w:t>qualified</w:t>
      </w:r>
      <w:r>
        <w:rPr>
          <w:color w:val="231F20"/>
          <w:spacing w:val="5"/>
        </w:rPr>
        <w:t> </w:t>
      </w:r>
      <w:r>
        <w:rPr>
          <w:color w:val="231F20"/>
        </w:rPr>
        <w:t>Arborist.</w:t>
      </w:r>
    </w:p>
    <w:p>
      <w:pPr>
        <w:pStyle w:val="BodyText"/>
        <w:spacing w:before="4"/>
        <w:rPr>
          <w:sz w:val="26"/>
        </w:rPr>
      </w:pPr>
    </w:p>
    <w:p>
      <w:pPr>
        <w:pStyle w:val="BodyText"/>
        <w:spacing w:line="348" w:lineRule="auto"/>
        <w:ind w:left="390" w:right="4219"/>
      </w:pPr>
      <w:r>
        <w:rPr>
          <w:color w:val="231F20"/>
        </w:rPr>
        <w:t>Development applications involving trees are managed through the LEP process. Council’s Development Assessment section refers development application  to  the  TMO  when  it  is established there are tree management issues within or adjacent to the site. Trees are assessed        in consideration of the TPO, and Council has the opportunity to set stringent controls for tree protection, maintenance and / or replacement. Not adhering to the control measures is an offence   and</w:t>
      </w:r>
      <w:r>
        <w:rPr>
          <w:color w:val="231F20"/>
          <w:spacing w:val="12"/>
        </w:rPr>
        <w:t> </w:t>
      </w:r>
      <w:r>
        <w:rPr>
          <w:color w:val="231F20"/>
        </w:rPr>
        <w:t>on</w:t>
      </w:r>
      <w:r>
        <w:rPr>
          <w:color w:val="231F20"/>
          <w:spacing w:val="12"/>
        </w:rPr>
        <w:t> </w:t>
      </w:r>
      <w:r>
        <w:rPr>
          <w:color w:val="231F20"/>
        </w:rPr>
        <w:t>the</w:t>
      </w:r>
      <w:r>
        <w:rPr>
          <w:color w:val="231F20"/>
          <w:spacing w:val="12"/>
        </w:rPr>
        <w:t> </w:t>
      </w:r>
      <w:r>
        <w:rPr>
          <w:color w:val="231F20"/>
        </w:rPr>
        <w:t>spot</w:t>
      </w:r>
      <w:r>
        <w:rPr>
          <w:color w:val="231F20"/>
          <w:spacing w:val="12"/>
        </w:rPr>
        <w:t> </w:t>
      </w:r>
      <w:r>
        <w:rPr>
          <w:color w:val="231F20"/>
        </w:rPr>
        <w:t>penalty</w:t>
      </w:r>
      <w:r>
        <w:rPr>
          <w:color w:val="231F20"/>
          <w:spacing w:val="12"/>
        </w:rPr>
        <w:t> </w:t>
      </w:r>
      <w:r>
        <w:rPr>
          <w:color w:val="231F20"/>
        </w:rPr>
        <w:t>notices</w:t>
      </w:r>
      <w:r>
        <w:rPr>
          <w:color w:val="231F20"/>
          <w:spacing w:val="12"/>
        </w:rPr>
        <w:t> </w:t>
      </w:r>
      <w:r>
        <w:rPr>
          <w:color w:val="231F20"/>
        </w:rPr>
        <w:t>(currently</w:t>
      </w:r>
      <w:r>
        <w:rPr>
          <w:color w:val="231F20"/>
          <w:spacing w:val="12"/>
        </w:rPr>
        <w:t> </w:t>
      </w:r>
      <w:r>
        <w:rPr>
          <w:color w:val="231F20"/>
        </w:rPr>
        <w:t>$600)</w:t>
      </w:r>
      <w:r>
        <w:rPr>
          <w:color w:val="231F20"/>
          <w:spacing w:val="12"/>
        </w:rPr>
        <w:t> </w:t>
      </w:r>
      <w:r>
        <w:rPr>
          <w:color w:val="231F20"/>
        </w:rPr>
        <w:t>can</w:t>
      </w:r>
      <w:r>
        <w:rPr>
          <w:color w:val="231F20"/>
          <w:spacing w:val="12"/>
        </w:rPr>
        <w:t> </w:t>
      </w:r>
      <w:r>
        <w:rPr>
          <w:color w:val="231F20"/>
        </w:rPr>
        <w:t>be</w:t>
      </w:r>
      <w:r>
        <w:rPr>
          <w:color w:val="231F20"/>
          <w:spacing w:val="12"/>
        </w:rPr>
        <w:t> </w:t>
      </w:r>
      <w:r>
        <w:rPr>
          <w:color w:val="231F20"/>
        </w:rPr>
        <w:t>issued</w:t>
      </w:r>
      <w:r>
        <w:rPr>
          <w:color w:val="231F20"/>
          <w:spacing w:val="12"/>
        </w:rPr>
        <w:t> </w:t>
      </w:r>
      <w:r>
        <w:rPr>
          <w:color w:val="231F20"/>
        </w:rPr>
        <w:t>or</w:t>
      </w:r>
      <w:r>
        <w:rPr>
          <w:color w:val="231F20"/>
          <w:spacing w:val="12"/>
        </w:rPr>
        <w:t> </w:t>
      </w:r>
      <w:r>
        <w:rPr>
          <w:color w:val="231F20"/>
        </w:rPr>
        <w:t>the</w:t>
      </w:r>
      <w:r>
        <w:rPr>
          <w:color w:val="231F20"/>
          <w:spacing w:val="12"/>
        </w:rPr>
        <w:t> </w:t>
      </w:r>
      <w:r>
        <w:rPr>
          <w:color w:val="231F20"/>
        </w:rPr>
        <w:t>matter</w:t>
      </w:r>
      <w:r>
        <w:rPr>
          <w:color w:val="231F20"/>
          <w:spacing w:val="12"/>
        </w:rPr>
        <w:t> </w:t>
      </w:r>
      <w:r>
        <w:rPr>
          <w:color w:val="231F20"/>
        </w:rPr>
        <w:t>taken</w:t>
      </w:r>
      <w:r>
        <w:rPr>
          <w:color w:val="231F20"/>
          <w:spacing w:val="12"/>
        </w:rPr>
        <w:t> </w:t>
      </w:r>
      <w:r>
        <w:rPr>
          <w:color w:val="231F20"/>
        </w:rPr>
        <w:t>to</w:t>
      </w:r>
      <w:r>
        <w:rPr>
          <w:color w:val="231F20"/>
          <w:spacing w:val="12"/>
        </w:rPr>
        <w:t> </w:t>
      </w:r>
      <w:r>
        <w:rPr>
          <w:color w:val="231F20"/>
          <w:spacing w:val="1"/>
        </w:rPr>
        <w:t>court.</w:t>
      </w:r>
    </w:p>
    <w:p>
      <w:pPr>
        <w:spacing w:after="0" w:line="348" w:lineRule="auto"/>
        <w:sectPr>
          <w:pgSz w:w="11910" w:h="16840"/>
          <w:pgMar w:header="0" w:footer="779" w:top="920" w:bottom="960" w:left="460" w:right="440"/>
        </w:sectPr>
      </w:pPr>
    </w:p>
    <w:p>
      <w:pPr>
        <w:tabs>
          <w:tab w:pos="1347" w:val="left" w:leader="none"/>
        </w:tabs>
        <w:spacing w:line="631" w:lineRule="exact" w:before="126"/>
        <w:ind w:left="610" w:right="0" w:firstLine="0"/>
        <w:jc w:val="left"/>
        <w:rPr>
          <w:i/>
          <w:sz w:val="24"/>
        </w:rPr>
      </w:pPr>
      <w:r>
        <w:rPr/>
        <w:pict>
          <v:group style="position:absolute;margin-left:22.676901pt;margin-top:28.346714pt;width:530.1pt;height:772.1pt;mso-position-horizontal-relative:page;mso-position-vertical-relative:page;z-index:-93976" coordorigin="454,567" coordsize="10602,15442">
            <v:line style="position:absolute" from="11055,2059" to="454,2059" stroked="true" strokeweight=".25pt" strokecolor="#808285">
              <v:stroke dashstyle="solid"/>
            </v:line>
            <v:line style="position:absolute" from="3964,567" to="3964,16009" stroked="true" strokeweight=".25pt" strokecolor="#808285">
              <v:stroke dashstyle="solid"/>
            </v:line>
            <w10:wrap type="none"/>
          </v:group>
        </w:pict>
      </w:r>
      <w:r>
        <w:rPr/>
        <w:pict>
          <v:shape style="position:absolute;margin-left:34.015701pt;margin-top:3.630104pt;width:19.5pt;height:55.1pt;mso-position-horizontal-relative:page;mso-position-vertical-relative:paragraph;z-index:2992"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b/>
          <w:color w:val="808285"/>
          <w:position w:val="2"/>
          <w:sz w:val="56"/>
        </w:rPr>
        <w:t>d</w:t>
        <w:tab/>
      </w:r>
      <w:r>
        <w:rPr>
          <w:i/>
          <w:color w:val="231F20"/>
          <w:spacing w:val="6"/>
          <w:sz w:val="24"/>
        </w:rPr>
        <w:t>Marrickville</w:t>
      </w:r>
      <w:r>
        <w:rPr>
          <w:i/>
          <w:color w:val="231F20"/>
          <w:spacing w:val="40"/>
          <w:sz w:val="24"/>
        </w:rPr>
        <w:t> </w:t>
      </w:r>
      <w:r>
        <w:rPr>
          <w:i/>
          <w:color w:val="231F20"/>
          <w:spacing w:val="7"/>
          <w:sz w:val="24"/>
        </w:rPr>
        <w:t>Council</w:t>
      </w:r>
    </w:p>
    <w:p>
      <w:pPr>
        <w:spacing w:line="264" w:lineRule="exact" w:before="0"/>
        <w:ind w:left="966" w:right="0" w:firstLine="0"/>
        <w:jc w:val="left"/>
        <w:rPr>
          <w:b/>
          <w:i/>
          <w:sz w:val="24"/>
        </w:rPr>
      </w:pPr>
      <w:r>
        <w:rPr>
          <w:b/>
          <w:i/>
          <w:color w:val="231F20"/>
          <w:sz w:val="24"/>
        </w:rPr>
        <w:t>Urban  Forest Strategy</w:t>
      </w:r>
    </w:p>
    <w:p>
      <w:pPr>
        <w:pStyle w:val="BodyText"/>
        <w:rPr>
          <w:b/>
          <w:i/>
          <w:sz w:val="20"/>
        </w:rPr>
      </w:pPr>
    </w:p>
    <w:p>
      <w:pPr>
        <w:pStyle w:val="BodyText"/>
        <w:rPr>
          <w:b/>
          <w:i/>
          <w:sz w:val="20"/>
        </w:rPr>
      </w:pPr>
    </w:p>
    <w:p>
      <w:pPr>
        <w:pStyle w:val="BodyText"/>
        <w:spacing w:before="3"/>
        <w:rPr>
          <w:b/>
          <w:i/>
          <w:sz w:val="19"/>
        </w:rPr>
      </w:pPr>
    </w:p>
    <w:p>
      <w:pPr>
        <w:pStyle w:val="Heading5"/>
        <w:ind w:left="3791"/>
      </w:pPr>
      <w:r>
        <w:rPr>
          <w:color w:val="231F20"/>
        </w:rPr>
        <w:t>There are four NSW acts that override Council’s TPO;</w:t>
      </w:r>
    </w:p>
    <w:p>
      <w:pPr>
        <w:pStyle w:val="ListParagraph"/>
        <w:numPr>
          <w:ilvl w:val="0"/>
          <w:numId w:val="30"/>
        </w:numPr>
        <w:tabs>
          <w:tab w:pos="4274" w:val="left" w:leader="none"/>
        </w:tabs>
        <w:spacing w:line="278" w:lineRule="auto" w:before="94" w:after="0"/>
        <w:ind w:left="4273" w:right="444" w:hanging="141"/>
        <w:jc w:val="left"/>
        <w:rPr>
          <w:sz w:val="18"/>
        </w:rPr>
      </w:pPr>
      <w:r>
        <w:rPr>
          <w:color w:val="231F20"/>
          <w:sz w:val="18"/>
        </w:rPr>
        <w:t>Electrical Supply Act 1995, Section 48 of the act states if the network operator believes a      tree “could destroy, damage or interfere with its electrical works” or “cause a bush fire or potential risk to public safety” then the network operator can issue a written notice to </w:t>
      </w:r>
      <w:r>
        <w:rPr>
          <w:color w:val="231F20"/>
          <w:spacing w:val="1"/>
          <w:sz w:val="18"/>
        </w:rPr>
        <w:t>the       </w:t>
      </w:r>
      <w:r>
        <w:rPr>
          <w:color w:val="231F20"/>
          <w:sz w:val="18"/>
        </w:rPr>
        <w:t>tree owner requiring them to remove or trim the tree. In circumstances where the works </w:t>
      </w:r>
      <w:r>
        <w:rPr>
          <w:color w:val="231F20"/>
          <w:spacing w:val="1"/>
          <w:sz w:val="18"/>
        </w:rPr>
        <w:t>are    </w:t>
      </w:r>
      <w:r>
        <w:rPr>
          <w:color w:val="231F20"/>
          <w:sz w:val="18"/>
        </w:rPr>
        <w:t>not undertaken and the tree was planted after the installation of the electrical infrastructure,    the Network operator may undertake the works and recover the cost from the tree owner.        </w:t>
      </w:r>
      <w:r>
        <w:rPr>
          <w:color w:val="231F20"/>
          <w:spacing w:val="-7"/>
          <w:sz w:val="18"/>
        </w:rPr>
        <w:t>To </w:t>
      </w:r>
      <w:r>
        <w:rPr>
          <w:color w:val="231F20"/>
          <w:sz w:val="18"/>
        </w:rPr>
        <w:t>date Energy Australia has not undertaken this option, with a significant cost saving to Council. This section does not apply to any trees subject to the Heritage Act 1997, National Parks and Wildlife Act or other similar</w:t>
      </w:r>
      <w:r>
        <w:rPr>
          <w:color w:val="231F20"/>
          <w:spacing w:val="5"/>
          <w:sz w:val="18"/>
        </w:rPr>
        <w:t> </w:t>
      </w:r>
      <w:r>
        <w:rPr>
          <w:color w:val="231F20"/>
          <w:sz w:val="18"/>
        </w:rPr>
        <w:t>law.</w:t>
      </w:r>
    </w:p>
    <w:p>
      <w:pPr>
        <w:pStyle w:val="ListParagraph"/>
        <w:numPr>
          <w:ilvl w:val="0"/>
          <w:numId w:val="30"/>
        </w:numPr>
        <w:tabs>
          <w:tab w:pos="4274" w:val="left" w:leader="none"/>
        </w:tabs>
        <w:spacing w:line="278" w:lineRule="auto" w:before="63" w:after="0"/>
        <w:ind w:left="4273" w:right="609" w:hanging="141"/>
        <w:jc w:val="left"/>
        <w:rPr>
          <w:sz w:val="18"/>
        </w:rPr>
      </w:pPr>
      <w:r>
        <w:rPr>
          <w:color w:val="231F20"/>
          <w:sz w:val="18"/>
        </w:rPr>
        <w:t>Sydney Water Act 1994 Section 46 of the act is similar to section 48 Electrical Supply </w:t>
      </w:r>
      <w:r>
        <w:rPr>
          <w:color w:val="231F20"/>
          <w:spacing w:val="1"/>
          <w:sz w:val="18"/>
        </w:rPr>
        <w:t>Act </w:t>
      </w:r>
      <w:r>
        <w:rPr>
          <w:color w:val="231F20"/>
          <w:sz w:val="18"/>
        </w:rPr>
        <w:t>only it relates to Sydney Water</w:t>
      </w:r>
      <w:r>
        <w:rPr>
          <w:color w:val="231F20"/>
          <w:spacing w:val="8"/>
          <w:sz w:val="18"/>
        </w:rPr>
        <w:t> </w:t>
      </w:r>
      <w:r>
        <w:rPr>
          <w:color w:val="231F20"/>
          <w:sz w:val="18"/>
        </w:rPr>
        <w:t>infrastructure.</w:t>
      </w:r>
    </w:p>
    <w:p>
      <w:pPr>
        <w:pStyle w:val="ListParagraph"/>
        <w:numPr>
          <w:ilvl w:val="0"/>
          <w:numId w:val="30"/>
        </w:numPr>
        <w:tabs>
          <w:tab w:pos="4274" w:val="left" w:leader="none"/>
        </w:tabs>
        <w:spacing w:line="278" w:lineRule="auto" w:before="60" w:after="0"/>
        <w:ind w:left="4273" w:right="535" w:hanging="141"/>
        <w:jc w:val="left"/>
        <w:rPr>
          <w:sz w:val="18"/>
        </w:rPr>
      </w:pPr>
      <w:r>
        <w:rPr>
          <w:color w:val="231F20"/>
          <w:sz w:val="18"/>
        </w:rPr>
        <w:t>Roads Act 1993 Section 88 of the act states “A roads authority may, despite any other </w:t>
      </w:r>
      <w:r>
        <w:rPr>
          <w:color w:val="231F20"/>
          <w:spacing w:val="1"/>
          <w:sz w:val="18"/>
        </w:rPr>
        <w:t>Act     </w:t>
      </w:r>
      <w:r>
        <w:rPr>
          <w:color w:val="231F20"/>
          <w:sz w:val="18"/>
        </w:rPr>
        <w:t>or law to the contrary, remove or lop any tree or other vegetation that is on or overhanging      a public road if, in its opinion, it is necessary to do so for the purpose of carrying out road   work or removing a traffic</w:t>
      </w:r>
      <w:r>
        <w:rPr>
          <w:color w:val="231F20"/>
          <w:spacing w:val="38"/>
          <w:sz w:val="18"/>
        </w:rPr>
        <w:t> </w:t>
      </w:r>
      <w:r>
        <w:rPr>
          <w:color w:val="231F20"/>
          <w:sz w:val="18"/>
        </w:rPr>
        <w:t>hazard.”</w:t>
      </w:r>
    </w:p>
    <w:p>
      <w:pPr>
        <w:pStyle w:val="BodyText"/>
        <w:rPr>
          <w:sz w:val="20"/>
        </w:rPr>
      </w:pPr>
    </w:p>
    <w:p>
      <w:pPr>
        <w:pStyle w:val="BodyText"/>
        <w:spacing w:before="11"/>
        <w:rPr>
          <w:sz w:val="21"/>
        </w:rPr>
      </w:pPr>
    </w:p>
    <w:p>
      <w:pPr>
        <w:pStyle w:val="Heading5"/>
        <w:spacing w:line="348" w:lineRule="auto"/>
        <w:ind w:left="3791" w:right="934"/>
      </w:pPr>
      <w:r>
        <w:rPr>
          <w:color w:val="231F20"/>
        </w:rPr>
        <w:t>Other Acts that apply to tree management and offer a degree of protection and enforcement include:</w:t>
      </w:r>
    </w:p>
    <w:p>
      <w:pPr>
        <w:pStyle w:val="ListParagraph"/>
        <w:numPr>
          <w:ilvl w:val="0"/>
          <w:numId w:val="31"/>
        </w:numPr>
        <w:tabs>
          <w:tab w:pos="4512" w:val="left" w:leader="none"/>
        </w:tabs>
        <w:spacing w:line="278" w:lineRule="auto" w:before="1" w:after="0"/>
        <w:ind w:left="4511" w:right="487" w:hanging="238"/>
        <w:jc w:val="left"/>
        <w:rPr>
          <w:sz w:val="18"/>
        </w:rPr>
      </w:pPr>
      <w:r>
        <w:rPr>
          <w:color w:val="231F20"/>
          <w:sz w:val="18"/>
        </w:rPr>
        <w:t>Local Government Act 1993 (LGA), Section 629 of the act in reference to a public place states</w:t>
      </w:r>
      <w:r>
        <w:rPr>
          <w:color w:val="231F20"/>
          <w:spacing w:val="17"/>
          <w:sz w:val="18"/>
        </w:rPr>
        <w:t> </w:t>
      </w:r>
      <w:r>
        <w:rPr>
          <w:color w:val="231F20"/>
          <w:sz w:val="18"/>
        </w:rPr>
        <w:t>“A</w:t>
      </w:r>
      <w:r>
        <w:rPr>
          <w:color w:val="231F20"/>
          <w:spacing w:val="7"/>
          <w:sz w:val="18"/>
        </w:rPr>
        <w:t> </w:t>
      </w:r>
      <w:r>
        <w:rPr>
          <w:color w:val="231F20"/>
          <w:sz w:val="18"/>
        </w:rPr>
        <w:t>person</w:t>
      </w:r>
      <w:r>
        <w:rPr>
          <w:color w:val="231F20"/>
          <w:spacing w:val="17"/>
          <w:sz w:val="18"/>
        </w:rPr>
        <w:t> </w:t>
      </w:r>
      <w:r>
        <w:rPr>
          <w:color w:val="231F20"/>
          <w:sz w:val="18"/>
        </w:rPr>
        <w:t>who,</w:t>
      </w:r>
      <w:r>
        <w:rPr>
          <w:color w:val="231F20"/>
          <w:spacing w:val="17"/>
          <w:sz w:val="18"/>
        </w:rPr>
        <w:t> </w:t>
      </w:r>
      <w:r>
        <w:rPr>
          <w:color w:val="231F20"/>
          <w:sz w:val="18"/>
        </w:rPr>
        <w:t>without</w:t>
      </w:r>
      <w:r>
        <w:rPr>
          <w:color w:val="231F20"/>
          <w:spacing w:val="17"/>
          <w:sz w:val="18"/>
        </w:rPr>
        <w:t> </w:t>
      </w:r>
      <w:r>
        <w:rPr>
          <w:color w:val="231F20"/>
          <w:sz w:val="18"/>
        </w:rPr>
        <w:t>lawful</w:t>
      </w:r>
      <w:r>
        <w:rPr>
          <w:color w:val="231F20"/>
          <w:spacing w:val="17"/>
          <w:sz w:val="18"/>
        </w:rPr>
        <w:t> </w:t>
      </w:r>
      <w:r>
        <w:rPr>
          <w:color w:val="231F20"/>
          <w:sz w:val="18"/>
        </w:rPr>
        <w:t>excuse,</w:t>
      </w:r>
      <w:r>
        <w:rPr>
          <w:color w:val="231F20"/>
          <w:spacing w:val="17"/>
          <w:sz w:val="18"/>
        </w:rPr>
        <w:t> </w:t>
      </w:r>
      <w:r>
        <w:rPr>
          <w:color w:val="231F20"/>
          <w:sz w:val="18"/>
        </w:rPr>
        <w:t>wilfully</w:t>
      </w:r>
      <w:r>
        <w:rPr>
          <w:color w:val="231F20"/>
          <w:spacing w:val="17"/>
          <w:sz w:val="18"/>
        </w:rPr>
        <w:t> </w:t>
      </w:r>
      <w:r>
        <w:rPr>
          <w:color w:val="231F20"/>
          <w:sz w:val="18"/>
        </w:rPr>
        <w:t>or</w:t>
      </w:r>
      <w:r>
        <w:rPr>
          <w:color w:val="231F20"/>
          <w:spacing w:val="17"/>
          <w:sz w:val="18"/>
        </w:rPr>
        <w:t> </w:t>
      </w:r>
      <w:r>
        <w:rPr>
          <w:color w:val="231F20"/>
          <w:sz w:val="18"/>
        </w:rPr>
        <w:t>negligently</w:t>
      </w:r>
      <w:r>
        <w:rPr>
          <w:color w:val="231F20"/>
          <w:spacing w:val="17"/>
          <w:sz w:val="18"/>
        </w:rPr>
        <w:t> </w:t>
      </w:r>
      <w:r>
        <w:rPr>
          <w:color w:val="231F20"/>
          <w:sz w:val="18"/>
        </w:rPr>
        <w:t>injures,</w:t>
      </w:r>
      <w:r>
        <w:rPr>
          <w:color w:val="231F20"/>
          <w:spacing w:val="17"/>
          <w:sz w:val="18"/>
        </w:rPr>
        <w:t> </w:t>
      </w:r>
      <w:r>
        <w:rPr>
          <w:color w:val="231F20"/>
          <w:sz w:val="18"/>
        </w:rPr>
        <w:t>damages</w:t>
      </w:r>
    </w:p>
    <w:p>
      <w:pPr>
        <w:pStyle w:val="BodyText"/>
        <w:spacing w:line="278" w:lineRule="auto" w:before="1"/>
        <w:ind w:left="4511" w:right="712"/>
      </w:pPr>
      <w:r>
        <w:rPr>
          <w:color w:val="231F20"/>
        </w:rPr>
        <w:t>or unnecessarily disturbs any plant, animal, rock or soil in a public place is guilty of an offence.” The offence carries a $220 on the spot penalty notice. Additionally an offence may occur if a persons acts contrary to notices erected by council (ie parking on </w:t>
      </w:r>
      <w:r>
        <w:rPr>
          <w:color w:val="231F20"/>
          <w:spacing w:val="1"/>
        </w:rPr>
        <w:t>the    </w:t>
      </w:r>
      <w:r>
        <w:rPr>
          <w:color w:val="231F20"/>
        </w:rPr>
        <w:t>grass</w:t>
      </w:r>
      <w:r>
        <w:rPr>
          <w:color w:val="231F20"/>
          <w:spacing w:val="6"/>
        </w:rPr>
        <w:t> </w:t>
      </w:r>
      <w:r>
        <w:rPr>
          <w:color w:val="231F20"/>
        </w:rPr>
        <w:t>contrary</w:t>
      </w:r>
    </w:p>
    <w:p>
      <w:pPr>
        <w:pStyle w:val="BodyText"/>
        <w:spacing w:line="278" w:lineRule="auto" w:before="1"/>
        <w:ind w:left="4511" w:right="812"/>
      </w:pPr>
      <w:r>
        <w:rPr>
          <w:color w:val="231F20"/>
        </w:rPr>
        <w:t>to a sign prohibiting that parking), the offence is a $110 penalty notice — for contravening a sign.</w:t>
      </w:r>
    </w:p>
    <w:p>
      <w:pPr>
        <w:pStyle w:val="BodyText"/>
        <w:spacing w:line="278" w:lineRule="auto" w:before="61"/>
        <w:ind w:left="4511" w:right="712" w:hanging="1"/>
      </w:pPr>
      <w:r>
        <w:rPr>
          <w:color w:val="231F20"/>
        </w:rPr>
        <w:t>Section 124 Order 21 of the LGA allows Council to issue orders to ensure the land or premises are kept in a safe or healthy condition. This order is used in circumstances where it is evident the tree poses a risk to the adjoining properties and is for example, dead, unstable or damaged. A $330 penalty notice applies for failing to adhere to </w:t>
      </w:r>
      <w:r>
        <w:rPr>
          <w:color w:val="231F20"/>
          <w:spacing w:val="1"/>
        </w:rPr>
        <w:t>the </w:t>
      </w:r>
      <w:r>
        <w:rPr>
          <w:color w:val="231F20"/>
        </w:rPr>
        <w:t>order in this</w:t>
      </w:r>
      <w:r>
        <w:rPr>
          <w:color w:val="231F20"/>
          <w:spacing w:val="21"/>
        </w:rPr>
        <w:t> </w:t>
      </w:r>
      <w:r>
        <w:rPr>
          <w:color w:val="231F20"/>
        </w:rPr>
        <w:t>case.</w:t>
      </w:r>
    </w:p>
    <w:p>
      <w:pPr>
        <w:pStyle w:val="ListParagraph"/>
        <w:numPr>
          <w:ilvl w:val="0"/>
          <w:numId w:val="31"/>
        </w:numPr>
        <w:tabs>
          <w:tab w:pos="4512" w:val="left" w:leader="none"/>
        </w:tabs>
        <w:spacing w:line="278" w:lineRule="auto" w:before="62" w:after="0"/>
        <w:ind w:left="4511" w:right="437" w:hanging="238"/>
        <w:jc w:val="left"/>
        <w:rPr>
          <w:sz w:val="18"/>
        </w:rPr>
      </w:pPr>
      <w:r>
        <w:rPr>
          <w:color w:val="231F20"/>
          <w:sz w:val="18"/>
        </w:rPr>
        <w:t>Roads Act 1993 Section 138 (1c) of the Act states  “a  person  must  not  remove  or interfere with a structure, work or tree on a public road otherwise with the consent of </w:t>
      </w:r>
      <w:r>
        <w:rPr>
          <w:color w:val="231F20"/>
          <w:spacing w:val="1"/>
          <w:sz w:val="18"/>
        </w:rPr>
        <w:t>the </w:t>
      </w:r>
      <w:r>
        <w:rPr>
          <w:color w:val="231F20"/>
          <w:sz w:val="18"/>
        </w:rPr>
        <w:t>appropriate roads authority”. Offences against this section of the Act are to be dealt with before</w:t>
      </w:r>
      <w:r>
        <w:rPr>
          <w:color w:val="231F20"/>
          <w:spacing w:val="6"/>
          <w:sz w:val="18"/>
        </w:rPr>
        <w:t> </w:t>
      </w:r>
      <w:r>
        <w:rPr>
          <w:color w:val="231F20"/>
          <w:sz w:val="18"/>
        </w:rPr>
        <w:t>a</w:t>
      </w:r>
    </w:p>
    <w:p>
      <w:pPr>
        <w:pStyle w:val="BodyText"/>
        <w:spacing w:before="2"/>
        <w:ind w:left="4511"/>
      </w:pPr>
      <w:r>
        <w:rPr>
          <w:color w:val="231F20"/>
        </w:rPr>
        <w:t>Local Court.</w:t>
      </w:r>
    </w:p>
    <w:p>
      <w:pPr>
        <w:pStyle w:val="BodyText"/>
        <w:spacing w:line="278" w:lineRule="auto" w:before="93"/>
        <w:ind w:left="4511" w:right="712" w:hanging="1"/>
      </w:pPr>
      <w:r>
        <w:rPr>
          <w:color w:val="231F20"/>
        </w:rPr>
        <w:t>Section 107 of the Roads Act authorises a roads authority to order an obstruction or encroachment to be removed from the road. This section is only enforceable if the obstruction or encroachment is not authorised by or under this or any other Act.</w:t>
      </w:r>
    </w:p>
    <w:p>
      <w:pPr>
        <w:pStyle w:val="ListParagraph"/>
        <w:numPr>
          <w:ilvl w:val="0"/>
          <w:numId w:val="31"/>
        </w:numPr>
        <w:tabs>
          <w:tab w:pos="4512" w:val="left" w:leader="none"/>
        </w:tabs>
        <w:spacing w:line="278" w:lineRule="auto" w:before="62" w:after="0"/>
        <w:ind w:left="4511" w:right="485" w:hanging="238"/>
        <w:jc w:val="left"/>
        <w:rPr>
          <w:sz w:val="18"/>
        </w:rPr>
      </w:pPr>
      <w:r>
        <w:rPr>
          <w:color w:val="231F20"/>
          <w:sz w:val="18"/>
        </w:rPr>
        <w:t>Electricity Supply (General) Regulation 2001 section 102, identifies a service provider (energy provider) “must not remove any tree, or trim any tree in a way that substantially damages the tree,</w:t>
      </w:r>
      <w:r>
        <w:rPr>
          <w:color w:val="231F20"/>
          <w:spacing w:val="21"/>
          <w:sz w:val="18"/>
        </w:rPr>
        <w:t> </w:t>
      </w:r>
      <w:r>
        <w:rPr>
          <w:color w:val="231F20"/>
          <w:sz w:val="18"/>
        </w:rPr>
        <w:t>unless:</w:t>
      </w:r>
    </w:p>
    <w:p>
      <w:pPr>
        <w:spacing w:after="0" w:line="278" w:lineRule="auto"/>
        <w:jc w:val="left"/>
        <w:rPr>
          <w:sz w:val="18"/>
        </w:rPr>
        <w:sectPr>
          <w:pgSz w:w="11910" w:h="16840"/>
          <w:pgMar w:header="0" w:footer="779" w:top="920" w:bottom="960" w:left="460" w:right="440"/>
        </w:sectPr>
      </w:pPr>
    </w:p>
    <w:p>
      <w:pPr>
        <w:tabs>
          <w:tab w:pos="2447" w:val="left" w:leader="none"/>
        </w:tabs>
        <w:spacing w:line="631" w:lineRule="exact" w:before="126"/>
        <w:ind w:left="0" w:right="124" w:firstLine="0"/>
        <w:jc w:val="right"/>
        <w:rPr>
          <w:b/>
          <w:sz w:val="56"/>
        </w:rPr>
      </w:pPr>
      <w:r>
        <w:rPr/>
        <w:pict>
          <v:group style="position:absolute;margin-left:42.5201pt;margin-top:28.919714pt;width:524.450pt;height:771.55pt;mso-position-horizontal-relative:page;mso-position-vertical-relative:page;z-index:-93928" coordorigin="850,578" coordsize="10489,15431">
            <v:line style="position:absolute" from="11339,2059" to="850,2059" stroked="true" strokeweight=".25pt" strokecolor="#808285">
              <v:stroke dashstyle="solid"/>
            </v:line>
            <v:line style="position:absolute" from="7942,578" to="7942,16009" stroked="true" strokeweight=".25pt" strokecolor="#808285">
              <v:stroke dashstyle="solid"/>
            </v:line>
            <w10:wrap type="none"/>
          </v:group>
        </w:pict>
      </w:r>
      <w:r>
        <w:rPr/>
        <w:pict>
          <v:shape style="position:absolute;margin-left:533.419189pt;margin-top:3.630104pt;width:19.5pt;height:55.1pt;mso-position-horizontal-relative:page;mso-position-vertical-relative:paragraph;z-index:-93904" type="#_x0000_t202" filled="false" stroked="false">
            <v:textbox inset="0,0,0,0">
              <w:txbxContent>
                <w:p>
                  <w:pPr>
                    <w:spacing w:line="1100" w:lineRule="exact" w:before="0"/>
                    <w:ind w:left="0" w:right="0" w:firstLine="0"/>
                    <w:jc w:val="left"/>
                    <w:rPr>
                      <w:b/>
                      <w:sz w:val="96"/>
                    </w:rPr>
                  </w:pPr>
                  <w:r>
                    <w:rPr>
                      <w:b/>
                      <w:color w:val="808285"/>
                      <w:spacing w:val="-48"/>
                      <w:sz w:val="96"/>
                    </w:rPr>
                    <w:t>5</w:t>
                  </w:r>
                </w:p>
              </w:txbxContent>
            </v:textbox>
            <w10:wrap type="none"/>
          </v:shape>
        </w:pict>
      </w:r>
      <w:r>
        <w:rPr>
          <w:i/>
          <w:color w:val="231F20"/>
          <w:spacing w:val="6"/>
          <w:sz w:val="24"/>
        </w:rPr>
        <w:t>Marrickville</w:t>
      </w:r>
      <w:r>
        <w:rPr>
          <w:i/>
          <w:color w:val="231F20"/>
          <w:spacing w:val="22"/>
          <w:sz w:val="24"/>
        </w:rPr>
        <w:t> </w:t>
      </w:r>
      <w:r>
        <w:rPr>
          <w:i/>
          <w:color w:val="231F20"/>
          <w:spacing w:val="5"/>
          <w:sz w:val="24"/>
        </w:rPr>
        <w:t>Council</w:t>
        <w:tab/>
      </w:r>
      <w:r>
        <w:rPr>
          <w:b/>
          <w:color w:val="808285"/>
          <w:spacing w:val="-1"/>
          <w:position w:val="2"/>
          <w:sz w:val="56"/>
        </w:rPr>
        <w:t>d</w:t>
      </w:r>
    </w:p>
    <w:p>
      <w:pPr>
        <w:spacing w:line="264" w:lineRule="exact" w:before="0"/>
        <w:ind w:left="0" w:right="964" w:firstLine="0"/>
        <w:jc w:val="right"/>
        <w:rPr>
          <w:b/>
          <w:i/>
          <w:sz w:val="24"/>
        </w:rPr>
      </w:pPr>
      <w:r>
        <w:rPr>
          <w:b/>
          <w:i/>
          <w:color w:val="231F20"/>
          <w:sz w:val="24"/>
        </w:rPr>
        <w:t>Urban Forest Strategy</w:t>
      </w:r>
    </w:p>
    <w:p>
      <w:pPr>
        <w:pStyle w:val="BodyText"/>
        <w:rPr>
          <w:b/>
          <w:i/>
          <w:sz w:val="20"/>
        </w:rPr>
      </w:pPr>
    </w:p>
    <w:p>
      <w:pPr>
        <w:pStyle w:val="BodyText"/>
        <w:spacing w:before="10"/>
        <w:rPr>
          <w:b/>
          <w:i/>
          <w:sz w:val="15"/>
        </w:rPr>
      </w:pPr>
    </w:p>
    <w:p>
      <w:pPr>
        <w:pStyle w:val="ListParagraph"/>
        <w:numPr>
          <w:ilvl w:val="0"/>
          <w:numId w:val="32"/>
        </w:numPr>
        <w:tabs>
          <w:tab w:pos="1383" w:val="left" w:leader="none"/>
        </w:tabs>
        <w:spacing w:line="278" w:lineRule="auto" w:before="100" w:after="0"/>
        <w:ind w:left="1382" w:right="3874" w:hanging="255"/>
        <w:jc w:val="left"/>
        <w:rPr>
          <w:sz w:val="18"/>
        </w:rPr>
      </w:pPr>
      <w:r>
        <w:rPr>
          <w:color w:val="231F20"/>
          <w:sz w:val="18"/>
        </w:rPr>
        <w:t>it is of the opinion that it is necessary to do so to protect its powerlines or the </w:t>
      </w:r>
      <w:r>
        <w:rPr>
          <w:color w:val="231F20"/>
          <w:spacing w:val="1"/>
          <w:sz w:val="18"/>
        </w:rPr>
        <w:t>safety     </w:t>
      </w:r>
      <w:r>
        <w:rPr>
          <w:color w:val="231F20"/>
          <w:sz w:val="18"/>
        </w:rPr>
        <w:t>of</w:t>
      </w:r>
      <w:r>
        <w:rPr>
          <w:color w:val="231F20"/>
          <w:spacing w:val="8"/>
          <w:sz w:val="18"/>
        </w:rPr>
        <w:t> </w:t>
      </w:r>
      <w:r>
        <w:rPr>
          <w:color w:val="231F20"/>
          <w:sz w:val="18"/>
        </w:rPr>
        <w:t>persons</w:t>
      </w:r>
      <w:r>
        <w:rPr>
          <w:color w:val="231F20"/>
          <w:spacing w:val="8"/>
          <w:sz w:val="18"/>
        </w:rPr>
        <w:t> </w:t>
      </w:r>
      <w:r>
        <w:rPr>
          <w:color w:val="231F20"/>
          <w:sz w:val="18"/>
        </w:rPr>
        <w:t>or</w:t>
      </w:r>
      <w:r>
        <w:rPr>
          <w:color w:val="231F20"/>
          <w:spacing w:val="8"/>
          <w:sz w:val="18"/>
        </w:rPr>
        <w:t> </w:t>
      </w:r>
      <w:r>
        <w:rPr>
          <w:color w:val="231F20"/>
          <w:sz w:val="18"/>
        </w:rPr>
        <w:t>property</w:t>
      </w:r>
      <w:r>
        <w:rPr>
          <w:color w:val="231F20"/>
          <w:spacing w:val="8"/>
          <w:sz w:val="18"/>
        </w:rPr>
        <w:t> </w:t>
      </w:r>
      <w:r>
        <w:rPr>
          <w:color w:val="231F20"/>
          <w:sz w:val="18"/>
        </w:rPr>
        <w:t>under</w:t>
      </w:r>
      <w:r>
        <w:rPr>
          <w:color w:val="231F20"/>
          <w:spacing w:val="8"/>
          <w:sz w:val="18"/>
        </w:rPr>
        <w:t> </w:t>
      </w:r>
      <w:r>
        <w:rPr>
          <w:color w:val="231F20"/>
          <w:sz w:val="18"/>
        </w:rPr>
        <w:t>or</w:t>
      </w:r>
      <w:r>
        <w:rPr>
          <w:color w:val="231F20"/>
          <w:spacing w:val="8"/>
          <w:sz w:val="18"/>
        </w:rPr>
        <w:t> </w:t>
      </w:r>
      <w:r>
        <w:rPr>
          <w:color w:val="231F20"/>
          <w:sz w:val="18"/>
        </w:rPr>
        <w:t>near</w:t>
      </w:r>
      <w:r>
        <w:rPr>
          <w:color w:val="231F20"/>
          <w:spacing w:val="8"/>
          <w:sz w:val="18"/>
        </w:rPr>
        <w:t> </w:t>
      </w:r>
      <w:r>
        <w:rPr>
          <w:color w:val="231F20"/>
          <w:sz w:val="18"/>
        </w:rPr>
        <w:t>its</w:t>
      </w:r>
      <w:r>
        <w:rPr>
          <w:color w:val="231F20"/>
          <w:spacing w:val="8"/>
          <w:sz w:val="18"/>
        </w:rPr>
        <w:t> </w:t>
      </w:r>
      <w:r>
        <w:rPr>
          <w:color w:val="231F20"/>
          <w:sz w:val="18"/>
        </w:rPr>
        <w:t>powerlines,</w:t>
      </w:r>
      <w:r>
        <w:rPr>
          <w:color w:val="231F20"/>
          <w:spacing w:val="8"/>
          <w:sz w:val="18"/>
        </w:rPr>
        <w:t> </w:t>
      </w:r>
      <w:r>
        <w:rPr>
          <w:color w:val="231F20"/>
          <w:spacing w:val="1"/>
          <w:sz w:val="18"/>
        </w:rPr>
        <w:t>and</w:t>
      </w:r>
    </w:p>
    <w:p>
      <w:pPr>
        <w:pStyle w:val="ListParagraph"/>
        <w:numPr>
          <w:ilvl w:val="0"/>
          <w:numId w:val="32"/>
        </w:numPr>
        <w:tabs>
          <w:tab w:pos="1383" w:val="left" w:leader="none"/>
        </w:tabs>
        <w:spacing w:line="278" w:lineRule="auto" w:before="61" w:after="0"/>
        <w:ind w:left="1382" w:right="4083" w:hanging="255"/>
        <w:jc w:val="left"/>
        <w:rPr>
          <w:sz w:val="18"/>
        </w:rPr>
      </w:pPr>
      <w:r>
        <w:rPr>
          <w:color w:val="231F20"/>
          <w:sz w:val="18"/>
        </w:rPr>
        <w:t>it has considered alternative methods and is of the opinion that none of those methods</w:t>
      </w:r>
      <w:r>
        <w:rPr>
          <w:color w:val="231F20"/>
          <w:spacing w:val="25"/>
          <w:sz w:val="18"/>
        </w:rPr>
        <w:t> </w:t>
      </w:r>
      <w:r>
        <w:rPr>
          <w:color w:val="231F20"/>
          <w:sz w:val="18"/>
        </w:rPr>
        <w:t>are</w:t>
      </w:r>
      <w:r>
        <w:rPr>
          <w:color w:val="231F20"/>
          <w:spacing w:val="25"/>
          <w:sz w:val="18"/>
        </w:rPr>
        <w:t> </w:t>
      </w:r>
      <w:r>
        <w:rPr>
          <w:color w:val="231F20"/>
          <w:sz w:val="18"/>
        </w:rPr>
        <w:t>feasible</w:t>
      </w:r>
      <w:r>
        <w:rPr>
          <w:color w:val="231F20"/>
          <w:spacing w:val="25"/>
          <w:sz w:val="18"/>
        </w:rPr>
        <w:t> </w:t>
      </w:r>
      <w:r>
        <w:rPr>
          <w:color w:val="231F20"/>
          <w:sz w:val="18"/>
        </w:rPr>
        <w:t>in</w:t>
      </w:r>
      <w:r>
        <w:rPr>
          <w:color w:val="231F20"/>
          <w:spacing w:val="25"/>
          <w:sz w:val="18"/>
        </w:rPr>
        <w:t> </w:t>
      </w:r>
      <w:r>
        <w:rPr>
          <w:color w:val="231F20"/>
          <w:sz w:val="18"/>
        </w:rPr>
        <w:t>the</w:t>
      </w:r>
      <w:r>
        <w:rPr>
          <w:color w:val="231F20"/>
          <w:spacing w:val="25"/>
          <w:sz w:val="18"/>
        </w:rPr>
        <w:t> </w:t>
      </w:r>
      <w:r>
        <w:rPr>
          <w:color w:val="231F20"/>
          <w:sz w:val="18"/>
        </w:rPr>
        <w:t>circumstances</w:t>
      </w:r>
      <w:r>
        <w:rPr>
          <w:color w:val="231F20"/>
          <w:spacing w:val="25"/>
          <w:sz w:val="18"/>
        </w:rPr>
        <w:t> </w:t>
      </w:r>
      <w:r>
        <w:rPr>
          <w:color w:val="231F20"/>
          <w:sz w:val="18"/>
        </w:rPr>
        <w:t>(including</w:t>
      </w:r>
      <w:r>
        <w:rPr>
          <w:color w:val="231F20"/>
          <w:spacing w:val="25"/>
          <w:sz w:val="18"/>
        </w:rPr>
        <w:t> </w:t>
      </w:r>
      <w:r>
        <w:rPr>
          <w:color w:val="231F20"/>
          <w:sz w:val="18"/>
        </w:rPr>
        <w:t>economically</w:t>
      </w:r>
      <w:r>
        <w:rPr>
          <w:color w:val="231F20"/>
          <w:spacing w:val="25"/>
          <w:sz w:val="18"/>
        </w:rPr>
        <w:t> </w:t>
      </w:r>
      <w:r>
        <w:rPr>
          <w:color w:val="231F20"/>
          <w:sz w:val="18"/>
        </w:rPr>
        <w:t>feasible),</w:t>
      </w:r>
      <w:r>
        <w:rPr>
          <w:color w:val="231F20"/>
          <w:spacing w:val="25"/>
          <w:sz w:val="18"/>
        </w:rPr>
        <w:t> </w:t>
      </w:r>
      <w:r>
        <w:rPr>
          <w:color w:val="231F20"/>
          <w:spacing w:val="1"/>
          <w:sz w:val="18"/>
        </w:rPr>
        <w:t>and</w:t>
      </w:r>
    </w:p>
    <w:p>
      <w:pPr>
        <w:pStyle w:val="ListParagraph"/>
        <w:numPr>
          <w:ilvl w:val="0"/>
          <w:numId w:val="32"/>
        </w:numPr>
        <w:tabs>
          <w:tab w:pos="1383" w:val="left" w:leader="none"/>
        </w:tabs>
        <w:spacing w:line="240" w:lineRule="auto" w:before="60" w:after="0"/>
        <w:ind w:left="1382" w:right="0" w:hanging="255"/>
        <w:jc w:val="left"/>
        <w:rPr>
          <w:sz w:val="18"/>
        </w:rPr>
      </w:pPr>
      <w:r>
        <w:rPr>
          <w:color w:val="231F20"/>
          <w:sz w:val="18"/>
        </w:rPr>
        <w:t>the</w:t>
      </w:r>
      <w:r>
        <w:rPr>
          <w:color w:val="231F20"/>
          <w:spacing w:val="7"/>
          <w:sz w:val="18"/>
        </w:rPr>
        <w:t> </w:t>
      </w:r>
      <w:r>
        <w:rPr>
          <w:color w:val="231F20"/>
          <w:sz w:val="18"/>
        </w:rPr>
        <w:t>service</w:t>
      </w:r>
      <w:r>
        <w:rPr>
          <w:color w:val="231F20"/>
          <w:spacing w:val="7"/>
          <w:sz w:val="18"/>
        </w:rPr>
        <w:t> </w:t>
      </w:r>
      <w:r>
        <w:rPr>
          <w:color w:val="231F20"/>
          <w:sz w:val="18"/>
        </w:rPr>
        <w:t>provider</w:t>
      </w:r>
      <w:r>
        <w:rPr>
          <w:color w:val="231F20"/>
          <w:spacing w:val="7"/>
          <w:sz w:val="18"/>
        </w:rPr>
        <w:t> </w:t>
      </w:r>
      <w:r>
        <w:rPr>
          <w:color w:val="231F20"/>
          <w:sz w:val="18"/>
        </w:rPr>
        <w:t>is</w:t>
      </w:r>
      <w:r>
        <w:rPr>
          <w:color w:val="231F20"/>
          <w:spacing w:val="7"/>
          <w:sz w:val="18"/>
        </w:rPr>
        <w:t> </w:t>
      </w:r>
      <w:r>
        <w:rPr>
          <w:color w:val="231F20"/>
          <w:sz w:val="18"/>
        </w:rPr>
        <w:t>acting</w:t>
      </w:r>
      <w:r>
        <w:rPr>
          <w:color w:val="231F20"/>
          <w:spacing w:val="7"/>
          <w:sz w:val="18"/>
        </w:rPr>
        <w:t> </w:t>
      </w:r>
      <w:r>
        <w:rPr>
          <w:color w:val="231F20"/>
          <w:sz w:val="18"/>
        </w:rPr>
        <w:t>in</w:t>
      </w:r>
      <w:r>
        <w:rPr>
          <w:color w:val="231F20"/>
          <w:spacing w:val="7"/>
          <w:sz w:val="18"/>
        </w:rPr>
        <w:t> </w:t>
      </w:r>
      <w:r>
        <w:rPr>
          <w:color w:val="231F20"/>
          <w:sz w:val="18"/>
        </w:rPr>
        <w:t>accordance</w:t>
      </w:r>
      <w:r>
        <w:rPr>
          <w:color w:val="231F20"/>
          <w:spacing w:val="7"/>
          <w:sz w:val="18"/>
        </w:rPr>
        <w:t> </w:t>
      </w:r>
      <w:r>
        <w:rPr>
          <w:color w:val="231F20"/>
          <w:sz w:val="18"/>
        </w:rPr>
        <w:t>with</w:t>
      </w:r>
      <w:r>
        <w:rPr>
          <w:color w:val="231F20"/>
          <w:spacing w:val="7"/>
          <w:sz w:val="18"/>
        </w:rPr>
        <w:t> </w:t>
      </w:r>
      <w:r>
        <w:rPr>
          <w:color w:val="231F20"/>
          <w:sz w:val="18"/>
        </w:rPr>
        <w:t>a</w:t>
      </w:r>
      <w:r>
        <w:rPr>
          <w:color w:val="231F20"/>
          <w:spacing w:val="7"/>
          <w:sz w:val="18"/>
        </w:rPr>
        <w:t> </w:t>
      </w:r>
      <w:r>
        <w:rPr>
          <w:color w:val="231F20"/>
          <w:sz w:val="18"/>
        </w:rPr>
        <w:t>tree</w:t>
      </w:r>
      <w:r>
        <w:rPr>
          <w:color w:val="231F20"/>
          <w:spacing w:val="7"/>
          <w:sz w:val="18"/>
        </w:rPr>
        <w:t> </w:t>
      </w:r>
      <w:r>
        <w:rPr>
          <w:color w:val="231F20"/>
          <w:sz w:val="18"/>
        </w:rPr>
        <w:t>management</w:t>
      </w:r>
      <w:r>
        <w:rPr>
          <w:color w:val="231F20"/>
          <w:spacing w:val="7"/>
          <w:sz w:val="18"/>
        </w:rPr>
        <w:t> </w:t>
      </w:r>
      <w:r>
        <w:rPr>
          <w:color w:val="231F20"/>
          <w:spacing w:val="1"/>
          <w:sz w:val="18"/>
        </w:rPr>
        <w:t>plan.”</w:t>
      </w:r>
    </w:p>
    <w:p>
      <w:pPr>
        <w:pStyle w:val="BodyText"/>
        <w:rPr>
          <w:sz w:val="20"/>
        </w:rPr>
      </w:pPr>
    </w:p>
    <w:p>
      <w:pPr>
        <w:pStyle w:val="BodyText"/>
        <w:spacing w:line="278" w:lineRule="auto" w:before="153"/>
        <w:ind w:left="390" w:right="4087"/>
      </w:pPr>
      <w:r>
        <w:rPr>
          <w:color w:val="231F20"/>
        </w:rPr>
        <w:t>Section 103 of the regulation identifies a service provider may establish a tree management plan however it need to be prepared in consultation with councils and the public</w:t>
      </w:r>
    </w:p>
    <w:p>
      <w:pPr>
        <w:pStyle w:val="ListParagraph"/>
        <w:numPr>
          <w:ilvl w:val="0"/>
          <w:numId w:val="31"/>
        </w:numPr>
        <w:tabs>
          <w:tab w:pos="958" w:val="left" w:leader="none"/>
        </w:tabs>
        <w:spacing w:line="278" w:lineRule="auto" w:before="121" w:after="0"/>
        <w:ind w:left="957" w:right="3805" w:hanging="142"/>
        <w:jc w:val="both"/>
        <w:rPr>
          <w:sz w:val="18"/>
        </w:rPr>
      </w:pPr>
      <w:r>
        <w:rPr>
          <w:color w:val="231F20"/>
          <w:sz w:val="18"/>
        </w:rPr>
        <w:t>Heritage Act 1977 Section 57 states a person must not damage or destroy any tree or vegetation</w:t>
      </w:r>
      <w:r>
        <w:rPr>
          <w:color w:val="231F20"/>
          <w:spacing w:val="17"/>
          <w:sz w:val="18"/>
        </w:rPr>
        <w:t> </w:t>
      </w:r>
      <w:r>
        <w:rPr>
          <w:color w:val="231F20"/>
          <w:sz w:val="18"/>
        </w:rPr>
        <w:t>where</w:t>
      </w:r>
      <w:r>
        <w:rPr>
          <w:color w:val="231F20"/>
          <w:spacing w:val="17"/>
          <w:sz w:val="18"/>
        </w:rPr>
        <w:t> </w:t>
      </w:r>
      <w:r>
        <w:rPr>
          <w:color w:val="231F20"/>
          <w:sz w:val="18"/>
        </w:rPr>
        <w:t>an</w:t>
      </w:r>
      <w:r>
        <w:rPr>
          <w:color w:val="231F20"/>
          <w:spacing w:val="17"/>
          <w:sz w:val="18"/>
        </w:rPr>
        <w:t> </w:t>
      </w:r>
      <w:r>
        <w:rPr>
          <w:color w:val="231F20"/>
          <w:sz w:val="18"/>
        </w:rPr>
        <w:t>interim</w:t>
      </w:r>
      <w:r>
        <w:rPr>
          <w:color w:val="231F20"/>
          <w:spacing w:val="17"/>
          <w:sz w:val="18"/>
        </w:rPr>
        <w:t> </w:t>
      </w:r>
      <w:r>
        <w:rPr>
          <w:color w:val="231F20"/>
          <w:sz w:val="18"/>
        </w:rPr>
        <w:t>heritage</w:t>
      </w:r>
      <w:r>
        <w:rPr>
          <w:color w:val="231F20"/>
          <w:spacing w:val="17"/>
          <w:sz w:val="18"/>
        </w:rPr>
        <w:t> </w:t>
      </w:r>
      <w:r>
        <w:rPr>
          <w:color w:val="231F20"/>
          <w:sz w:val="18"/>
        </w:rPr>
        <w:t>order</w:t>
      </w:r>
      <w:r>
        <w:rPr>
          <w:color w:val="231F20"/>
          <w:spacing w:val="17"/>
          <w:sz w:val="18"/>
        </w:rPr>
        <w:t> </w:t>
      </w:r>
      <w:r>
        <w:rPr>
          <w:color w:val="231F20"/>
          <w:sz w:val="18"/>
        </w:rPr>
        <w:t>or</w:t>
      </w:r>
      <w:r>
        <w:rPr>
          <w:color w:val="231F20"/>
          <w:spacing w:val="17"/>
          <w:sz w:val="18"/>
        </w:rPr>
        <w:t> </w:t>
      </w:r>
      <w:r>
        <w:rPr>
          <w:color w:val="231F20"/>
          <w:sz w:val="18"/>
        </w:rPr>
        <w:t>listing</w:t>
      </w:r>
      <w:r>
        <w:rPr>
          <w:color w:val="231F20"/>
          <w:spacing w:val="17"/>
          <w:sz w:val="18"/>
        </w:rPr>
        <w:t> </w:t>
      </w:r>
      <w:r>
        <w:rPr>
          <w:color w:val="231F20"/>
          <w:sz w:val="18"/>
        </w:rPr>
        <w:t>on</w:t>
      </w:r>
      <w:r>
        <w:rPr>
          <w:color w:val="231F20"/>
          <w:spacing w:val="17"/>
          <w:sz w:val="18"/>
        </w:rPr>
        <w:t> </w:t>
      </w:r>
      <w:r>
        <w:rPr>
          <w:color w:val="231F20"/>
          <w:sz w:val="18"/>
        </w:rPr>
        <w:t>the</w:t>
      </w:r>
      <w:r>
        <w:rPr>
          <w:color w:val="231F20"/>
          <w:spacing w:val="17"/>
          <w:sz w:val="18"/>
        </w:rPr>
        <w:t> </w:t>
      </w:r>
      <w:r>
        <w:rPr>
          <w:color w:val="231F20"/>
          <w:sz w:val="18"/>
        </w:rPr>
        <w:t>State</w:t>
      </w:r>
      <w:r>
        <w:rPr>
          <w:color w:val="231F20"/>
          <w:spacing w:val="17"/>
          <w:sz w:val="18"/>
        </w:rPr>
        <w:t> </w:t>
      </w:r>
      <w:r>
        <w:rPr>
          <w:color w:val="231F20"/>
          <w:sz w:val="18"/>
        </w:rPr>
        <w:t>Heritage</w:t>
      </w:r>
      <w:r>
        <w:rPr>
          <w:color w:val="231F20"/>
          <w:spacing w:val="17"/>
          <w:sz w:val="18"/>
        </w:rPr>
        <w:t> </w:t>
      </w:r>
      <w:r>
        <w:rPr>
          <w:color w:val="231F20"/>
          <w:sz w:val="18"/>
        </w:rPr>
        <w:t>Register</w:t>
      </w:r>
      <w:r>
        <w:rPr>
          <w:color w:val="231F20"/>
          <w:spacing w:val="17"/>
          <w:sz w:val="18"/>
        </w:rPr>
        <w:t> </w:t>
      </w:r>
      <w:r>
        <w:rPr>
          <w:color w:val="231F20"/>
          <w:sz w:val="18"/>
        </w:rPr>
        <w:t>applies.</w:t>
      </w:r>
    </w:p>
    <w:p>
      <w:pPr>
        <w:pStyle w:val="ListParagraph"/>
        <w:numPr>
          <w:ilvl w:val="0"/>
          <w:numId w:val="31"/>
        </w:numPr>
        <w:tabs>
          <w:tab w:pos="958" w:val="left" w:leader="none"/>
        </w:tabs>
        <w:spacing w:line="278" w:lineRule="auto" w:before="121" w:after="0"/>
        <w:ind w:left="957" w:right="3806" w:hanging="142"/>
        <w:jc w:val="both"/>
        <w:rPr>
          <w:sz w:val="18"/>
        </w:rPr>
      </w:pPr>
      <w:r>
        <w:rPr>
          <w:color w:val="231F20"/>
          <w:sz w:val="18"/>
        </w:rPr>
        <w:t>Fisheries Management Act 1994 Section 205 states except under the authority of a </w:t>
      </w:r>
      <w:r>
        <w:rPr>
          <w:color w:val="231F20"/>
          <w:spacing w:val="1"/>
          <w:sz w:val="18"/>
        </w:rPr>
        <w:t>permit </w:t>
      </w:r>
      <w:r>
        <w:rPr>
          <w:color w:val="231F20"/>
          <w:sz w:val="18"/>
        </w:rPr>
        <w:t>issued by the Minster  a  person  must  not  harm  any  such  marine  vegetation  (mangroves) in a protected area (described as all public land submerged by water whether permanently      or</w:t>
      </w:r>
      <w:r>
        <w:rPr>
          <w:color w:val="231F20"/>
          <w:spacing w:val="6"/>
          <w:sz w:val="18"/>
        </w:rPr>
        <w:t> </w:t>
      </w:r>
      <w:r>
        <w:rPr>
          <w:color w:val="231F20"/>
          <w:sz w:val="18"/>
        </w:rPr>
        <w:t>intermittently).</w:t>
      </w:r>
    </w:p>
    <w:p>
      <w:pPr>
        <w:pStyle w:val="BodyText"/>
        <w:rPr>
          <w:sz w:val="21"/>
        </w:rPr>
      </w:pPr>
    </w:p>
    <w:p>
      <w:pPr>
        <w:pStyle w:val="ListParagraph"/>
        <w:numPr>
          <w:ilvl w:val="0"/>
          <w:numId w:val="31"/>
        </w:numPr>
        <w:tabs>
          <w:tab w:pos="958" w:val="left" w:leader="none"/>
        </w:tabs>
        <w:spacing w:line="278" w:lineRule="auto" w:before="1" w:after="0"/>
        <w:ind w:left="957" w:right="3808" w:hanging="142"/>
        <w:jc w:val="both"/>
        <w:rPr>
          <w:sz w:val="18"/>
        </w:rPr>
      </w:pPr>
      <w:r>
        <w:rPr>
          <w:color w:val="231F20"/>
          <w:sz w:val="18"/>
        </w:rPr>
        <w:t>Crimes Act 1900 Section 140 states it is a punishable offence to steal, destroy or </w:t>
      </w:r>
      <w:r>
        <w:rPr>
          <w:color w:val="231F20"/>
          <w:spacing w:val="1"/>
          <w:sz w:val="18"/>
        </w:rPr>
        <w:t>damage   </w:t>
      </w:r>
      <w:r>
        <w:rPr>
          <w:color w:val="231F20"/>
          <w:sz w:val="18"/>
        </w:rPr>
        <w:t>with the intent to steal any part of a tree, including deadwood (Section 518) or be in </w:t>
      </w:r>
      <w:r>
        <w:rPr>
          <w:color w:val="231F20"/>
          <w:spacing w:val="1"/>
          <w:sz w:val="18"/>
        </w:rPr>
        <w:t>the </w:t>
      </w:r>
      <w:r>
        <w:rPr>
          <w:color w:val="231F20"/>
          <w:sz w:val="18"/>
        </w:rPr>
        <w:t>possession</w:t>
      </w:r>
      <w:r>
        <w:rPr>
          <w:color w:val="231F20"/>
          <w:spacing w:val="10"/>
          <w:sz w:val="18"/>
        </w:rPr>
        <w:t> </w:t>
      </w:r>
      <w:r>
        <w:rPr>
          <w:color w:val="231F20"/>
          <w:sz w:val="18"/>
        </w:rPr>
        <w:t>(section</w:t>
      </w:r>
      <w:r>
        <w:rPr>
          <w:color w:val="231F20"/>
          <w:spacing w:val="10"/>
          <w:sz w:val="18"/>
        </w:rPr>
        <w:t> </w:t>
      </w:r>
      <w:r>
        <w:rPr>
          <w:color w:val="231F20"/>
          <w:sz w:val="18"/>
        </w:rPr>
        <w:t>517)</w:t>
      </w:r>
      <w:r>
        <w:rPr>
          <w:color w:val="231F20"/>
          <w:spacing w:val="10"/>
          <w:sz w:val="18"/>
        </w:rPr>
        <w:t> </w:t>
      </w:r>
      <w:r>
        <w:rPr>
          <w:color w:val="231F20"/>
          <w:sz w:val="18"/>
        </w:rPr>
        <w:t>of</w:t>
      </w:r>
      <w:r>
        <w:rPr>
          <w:color w:val="231F20"/>
          <w:spacing w:val="10"/>
          <w:sz w:val="18"/>
        </w:rPr>
        <w:t> </w:t>
      </w:r>
      <w:r>
        <w:rPr>
          <w:color w:val="231F20"/>
          <w:sz w:val="18"/>
        </w:rPr>
        <w:t>a</w:t>
      </w:r>
      <w:r>
        <w:rPr>
          <w:color w:val="231F20"/>
          <w:spacing w:val="10"/>
          <w:sz w:val="18"/>
        </w:rPr>
        <w:t> </w:t>
      </w:r>
      <w:r>
        <w:rPr>
          <w:color w:val="231F20"/>
          <w:sz w:val="18"/>
        </w:rPr>
        <w:t>tree</w:t>
      </w:r>
      <w:r>
        <w:rPr>
          <w:color w:val="231F20"/>
          <w:spacing w:val="10"/>
          <w:sz w:val="18"/>
        </w:rPr>
        <w:t> </w:t>
      </w:r>
      <w:r>
        <w:rPr>
          <w:color w:val="231F20"/>
          <w:sz w:val="18"/>
        </w:rPr>
        <w:t>growing</w:t>
      </w:r>
      <w:r>
        <w:rPr>
          <w:color w:val="231F20"/>
          <w:spacing w:val="10"/>
          <w:sz w:val="18"/>
        </w:rPr>
        <w:t> </w:t>
      </w:r>
      <w:r>
        <w:rPr>
          <w:color w:val="231F20"/>
          <w:sz w:val="18"/>
        </w:rPr>
        <w:t>in</w:t>
      </w:r>
      <w:r>
        <w:rPr>
          <w:color w:val="231F20"/>
          <w:spacing w:val="10"/>
          <w:sz w:val="18"/>
        </w:rPr>
        <w:t> </w:t>
      </w:r>
      <w:r>
        <w:rPr>
          <w:color w:val="231F20"/>
          <w:sz w:val="18"/>
        </w:rPr>
        <w:t>a</w:t>
      </w:r>
      <w:r>
        <w:rPr>
          <w:color w:val="231F20"/>
          <w:spacing w:val="10"/>
          <w:sz w:val="18"/>
        </w:rPr>
        <w:t> </w:t>
      </w:r>
      <w:r>
        <w:rPr>
          <w:color w:val="231F20"/>
          <w:sz w:val="18"/>
        </w:rPr>
        <w:t>park,</w:t>
      </w:r>
      <w:r>
        <w:rPr>
          <w:color w:val="231F20"/>
          <w:spacing w:val="10"/>
          <w:sz w:val="18"/>
        </w:rPr>
        <w:t> </w:t>
      </w:r>
      <w:r>
        <w:rPr>
          <w:color w:val="231F20"/>
          <w:sz w:val="18"/>
        </w:rPr>
        <w:t>garden</w:t>
      </w:r>
      <w:r>
        <w:rPr>
          <w:color w:val="231F20"/>
          <w:spacing w:val="10"/>
          <w:sz w:val="18"/>
        </w:rPr>
        <w:t> </w:t>
      </w:r>
      <w:r>
        <w:rPr>
          <w:color w:val="231F20"/>
          <w:sz w:val="18"/>
        </w:rPr>
        <w:t>and</w:t>
      </w:r>
      <w:r>
        <w:rPr>
          <w:color w:val="231F20"/>
          <w:spacing w:val="10"/>
          <w:sz w:val="18"/>
        </w:rPr>
        <w:t> </w:t>
      </w:r>
      <w:r>
        <w:rPr>
          <w:color w:val="231F20"/>
          <w:sz w:val="18"/>
        </w:rPr>
        <w:t>avenue.</w:t>
      </w:r>
    </w:p>
    <w:sectPr>
      <w:pgSz w:w="11910" w:h="16840"/>
      <w:pgMar w:header="0" w:footer="779" w:top="920" w:bottom="960" w:left="46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0.02359pt;margin-top:791.948914pt;width:62pt;height:11.2pt;mso-position-horizontal-relative:page;mso-position-vertical-relative:page;z-index:-95920" type="#_x0000_t202" filled="false" stroked="false">
          <v:textbox inset="0,0,0,0">
            <w:txbxContent>
              <w:p>
                <w:pPr>
                  <w:spacing w:before="19"/>
                  <w:ind w:left="20" w:right="0" w:firstLine="0"/>
                  <w:jc w:val="left"/>
                  <w:rPr>
                    <w:i/>
                    <w:sz w:val="16"/>
                  </w:rPr>
                </w:pPr>
                <w:r>
                  <w:rPr>
                    <w:i/>
                    <w:color w:val="231F20"/>
                    <w:sz w:val="16"/>
                  </w:rPr>
                  <w:t>Issue Date: 03.11.10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02359pt;margin-top:791.948914pt;width:62pt;height:11.2pt;mso-position-horizontal-relative:page;mso-position-vertical-relative:page;z-index:-95896" type="#_x0000_t202" filled="false" stroked="false">
          <v:textbox inset="0,0,0,0">
            <w:txbxContent>
              <w:p>
                <w:pPr>
                  <w:spacing w:before="19"/>
                  <w:ind w:left="20" w:right="0" w:firstLine="0"/>
                  <w:jc w:val="left"/>
                  <w:rPr>
                    <w:i/>
                    <w:sz w:val="16"/>
                  </w:rPr>
                </w:pPr>
                <w:r>
                  <w:rPr>
                    <w:i/>
                    <w:color w:val="231F20"/>
                    <w:sz w:val="16"/>
                  </w:rPr>
                  <w:t>Issue Date: 03.11.10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3.294899pt;margin-top:791.948914pt;width:62pt;height:11.2pt;mso-position-horizontal-relative:page;mso-position-vertical-relative:page;z-index:-95872" type="#_x0000_t202" filled="false" stroked="false">
          <v:textbox inset="0,0,0,0">
            <w:txbxContent>
              <w:p>
                <w:pPr>
                  <w:spacing w:before="19"/>
                  <w:ind w:left="20" w:right="0" w:firstLine="0"/>
                  <w:jc w:val="left"/>
                  <w:rPr>
                    <w:i/>
                    <w:sz w:val="16"/>
                  </w:rPr>
                </w:pPr>
                <w:r>
                  <w:rPr>
                    <w:i/>
                    <w:color w:val="231F20"/>
                    <w:sz w:val="16"/>
                  </w:rPr>
                  <w:t>Issue Date: 03.11.10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5pt;margin-top:791.948914pt;width:12.4pt;height:11.2pt;mso-position-horizontal-relative:page;mso-position-vertical-relative:page;z-index:-95848" type="#_x0000_t202" filled="false" stroked="false">
          <v:textbox inset="0,0,0,0">
            <w:txbxContent>
              <w:p>
                <w:pPr>
                  <w:spacing w:before="19"/>
                  <w:ind w:left="61" w:right="0" w:firstLine="0"/>
                  <w:jc w:val="left"/>
                  <w:rPr>
                    <w:i/>
                    <w:sz w:val="16"/>
                  </w:rPr>
                </w:pPr>
                <w:r>
                  <w:rPr/>
                  <w:fldChar w:fldCharType="begin"/>
                </w:r>
                <w:r>
                  <w:rPr>
                    <w:i/>
                    <w:color w:val="231F20"/>
                    <w:sz w:val="16"/>
                  </w:rPr>
                  <w:instrText> PAGE </w:instrText>
                </w:r>
                <w:r>
                  <w:rPr/>
                  <w:fldChar w:fldCharType="separate"/>
                </w:r>
                <w:r>
                  <w:rPr/>
                  <w:t>21</w:t>
                </w:r>
                <w:r>
                  <w:rPr/>
                  <w:fldChar w:fldCharType="end"/>
                </w:r>
              </w:p>
            </w:txbxContent>
          </v:textbox>
          <w10:wrap type="none"/>
        </v:shape>
      </w:pict>
    </w:r>
    <w:r>
      <w:rPr/>
      <w:pict>
        <v:shape style="position:absolute;margin-left:124.354301pt;margin-top:791.948914pt;width:62pt;height:11.2pt;mso-position-horizontal-relative:page;mso-position-vertical-relative:page;z-index:-95824" type="#_x0000_t202" filled="false" stroked="false">
          <v:textbox inset="0,0,0,0">
            <w:txbxContent>
              <w:p>
                <w:pPr>
                  <w:spacing w:before="19"/>
                  <w:ind w:left="20" w:right="0" w:firstLine="0"/>
                  <w:jc w:val="left"/>
                  <w:rPr>
                    <w:i/>
                    <w:sz w:val="16"/>
                  </w:rPr>
                </w:pPr>
                <w:r>
                  <w:rPr>
                    <w:i/>
                    <w:color w:val="231F20"/>
                    <w:sz w:val="16"/>
                  </w:rPr>
                  <w:t>Issue Date: 03.11.10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02359pt;margin-top:791.948914pt;width:62pt;height:11.2pt;mso-position-horizontal-relative:page;mso-position-vertical-relative:page;z-index:-95800" type="#_x0000_t202" filled="false" stroked="false">
          <v:textbox inset="0,0,0,0">
            <w:txbxContent>
              <w:p>
                <w:pPr>
                  <w:spacing w:before="19"/>
                  <w:ind w:left="20" w:right="0" w:firstLine="0"/>
                  <w:jc w:val="left"/>
                  <w:rPr>
                    <w:i/>
                    <w:sz w:val="16"/>
                  </w:rPr>
                </w:pPr>
                <w:r>
                  <w:rPr>
                    <w:i/>
                    <w:color w:val="231F20"/>
                    <w:sz w:val="16"/>
                  </w:rPr>
                  <w:t>Issue Date: 03.11.10</w:t>
                </w:r>
              </w:p>
            </w:txbxContent>
          </v:textbox>
          <w10:wrap type="none"/>
        </v:shape>
      </w:pict>
    </w:r>
    <w:r>
      <w:rPr/>
      <w:pict>
        <v:shape style="position:absolute;margin-left:557.631592pt;margin-top:791.948914pt;width:11.3pt;height:11.2pt;mso-position-horizontal-relative:page;mso-position-vertical-relative:page;z-index:-95776" type="#_x0000_t202" filled="false" stroked="false">
          <v:textbox inset="0,0,0,0">
            <w:txbxContent>
              <w:p>
                <w:pPr>
                  <w:spacing w:before="19"/>
                  <w:ind w:left="40" w:right="0" w:firstLine="0"/>
                  <w:jc w:val="left"/>
                  <w:rPr>
                    <w:i/>
                    <w:sz w:val="16"/>
                  </w:rPr>
                </w:pPr>
                <w:r>
                  <w:rPr/>
                  <w:fldChar w:fldCharType="begin"/>
                </w:r>
                <w:r>
                  <w:rPr>
                    <w:i/>
                    <w:color w:val="231F20"/>
                    <w:sz w:val="16"/>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4273" w:hanging="142"/>
      </w:pPr>
      <w:rPr>
        <w:rFonts w:hint="default" w:ascii="Arial" w:hAnsi="Arial" w:eastAsia="Arial" w:cs="Arial"/>
        <w:color w:val="231F20"/>
        <w:w w:val="93"/>
        <w:sz w:val="18"/>
        <w:szCs w:val="18"/>
      </w:rPr>
    </w:lvl>
    <w:lvl w:ilvl="1">
      <w:start w:val="0"/>
      <w:numFmt w:val="bullet"/>
      <w:lvlText w:val="•"/>
      <w:lvlJc w:val="left"/>
      <w:pPr>
        <w:ind w:left="4952" w:hanging="142"/>
      </w:pPr>
      <w:rPr>
        <w:rFonts w:hint="default"/>
      </w:rPr>
    </w:lvl>
    <w:lvl w:ilvl="2">
      <w:start w:val="0"/>
      <w:numFmt w:val="bullet"/>
      <w:lvlText w:val="•"/>
      <w:lvlJc w:val="left"/>
      <w:pPr>
        <w:ind w:left="5625" w:hanging="142"/>
      </w:pPr>
      <w:rPr>
        <w:rFonts w:hint="default"/>
      </w:rPr>
    </w:lvl>
    <w:lvl w:ilvl="3">
      <w:start w:val="0"/>
      <w:numFmt w:val="bullet"/>
      <w:lvlText w:val="•"/>
      <w:lvlJc w:val="left"/>
      <w:pPr>
        <w:ind w:left="6297" w:hanging="142"/>
      </w:pPr>
      <w:rPr>
        <w:rFonts w:hint="default"/>
      </w:rPr>
    </w:lvl>
    <w:lvl w:ilvl="4">
      <w:start w:val="0"/>
      <w:numFmt w:val="bullet"/>
      <w:lvlText w:val="•"/>
      <w:lvlJc w:val="left"/>
      <w:pPr>
        <w:ind w:left="6970" w:hanging="142"/>
      </w:pPr>
      <w:rPr>
        <w:rFonts w:hint="default"/>
      </w:rPr>
    </w:lvl>
    <w:lvl w:ilvl="5">
      <w:start w:val="0"/>
      <w:numFmt w:val="bullet"/>
      <w:lvlText w:val="•"/>
      <w:lvlJc w:val="left"/>
      <w:pPr>
        <w:ind w:left="7642" w:hanging="142"/>
      </w:pPr>
      <w:rPr>
        <w:rFonts w:hint="default"/>
      </w:rPr>
    </w:lvl>
    <w:lvl w:ilvl="6">
      <w:start w:val="0"/>
      <w:numFmt w:val="bullet"/>
      <w:lvlText w:val="•"/>
      <w:lvlJc w:val="left"/>
      <w:pPr>
        <w:ind w:left="8315" w:hanging="142"/>
      </w:pPr>
      <w:rPr>
        <w:rFonts w:hint="default"/>
      </w:rPr>
    </w:lvl>
    <w:lvl w:ilvl="7">
      <w:start w:val="0"/>
      <w:numFmt w:val="bullet"/>
      <w:lvlText w:val="•"/>
      <w:lvlJc w:val="left"/>
      <w:pPr>
        <w:ind w:left="8987" w:hanging="142"/>
      </w:pPr>
      <w:rPr>
        <w:rFonts w:hint="default"/>
      </w:rPr>
    </w:lvl>
    <w:lvl w:ilvl="8">
      <w:start w:val="0"/>
      <w:numFmt w:val="bullet"/>
      <w:lvlText w:val="•"/>
      <w:lvlJc w:val="left"/>
      <w:pPr>
        <w:ind w:left="9660" w:hanging="142"/>
      </w:pPr>
      <w:rPr>
        <w:rFonts w:hint="default"/>
      </w:rPr>
    </w:lvl>
  </w:abstractNum>
  <w:abstractNum w:abstractNumId="28">
    <w:multiLevelType w:val="hybridMultilevel"/>
    <w:lvl w:ilvl="0">
      <w:start w:val="0"/>
      <w:numFmt w:val="bullet"/>
      <w:lvlText w:val="·"/>
      <w:lvlJc w:val="left"/>
      <w:pPr>
        <w:ind w:left="4511" w:hanging="239"/>
      </w:pPr>
      <w:rPr>
        <w:rFonts w:hint="default" w:ascii="Arial" w:hAnsi="Arial" w:eastAsia="Arial" w:cs="Arial"/>
        <w:color w:val="231F20"/>
        <w:w w:val="93"/>
        <w:sz w:val="18"/>
        <w:szCs w:val="18"/>
      </w:rPr>
    </w:lvl>
    <w:lvl w:ilvl="1">
      <w:start w:val="0"/>
      <w:numFmt w:val="bullet"/>
      <w:lvlText w:val="•"/>
      <w:lvlJc w:val="left"/>
      <w:pPr>
        <w:ind w:left="5168" w:hanging="239"/>
      </w:pPr>
      <w:rPr>
        <w:rFonts w:hint="default"/>
      </w:rPr>
    </w:lvl>
    <w:lvl w:ilvl="2">
      <w:start w:val="0"/>
      <w:numFmt w:val="bullet"/>
      <w:lvlText w:val="•"/>
      <w:lvlJc w:val="left"/>
      <w:pPr>
        <w:ind w:left="5817" w:hanging="239"/>
      </w:pPr>
      <w:rPr>
        <w:rFonts w:hint="default"/>
      </w:rPr>
    </w:lvl>
    <w:lvl w:ilvl="3">
      <w:start w:val="0"/>
      <w:numFmt w:val="bullet"/>
      <w:lvlText w:val="•"/>
      <w:lvlJc w:val="left"/>
      <w:pPr>
        <w:ind w:left="6465" w:hanging="239"/>
      </w:pPr>
      <w:rPr>
        <w:rFonts w:hint="default"/>
      </w:rPr>
    </w:lvl>
    <w:lvl w:ilvl="4">
      <w:start w:val="0"/>
      <w:numFmt w:val="bullet"/>
      <w:lvlText w:val="•"/>
      <w:lvlJc w:val="left"/>
      <w:pPr>
        <w:ind w:left="7114" w:hanging="239"/>
      </w:pPr>
      <w:rPr>
        <w:rFonts w:hint="default"/>
      </w:rPr>
    </w:lvl>
    <w:lvl w:ilvl="5">
      <w:start w:val="0"/>
      <w:numFmt w:val="bullet"/>
      <w:lvlText w:val="•"/>
      <w:lvlJc w:val="left"/>
      <w:pPr>
        <w:ind w:left="7762" w:hanging="239"/>
      </w:pPr>
      <w:rPr>
        <w:rFonts w:hint="default"/>
      </w:rPr>
    </w:lvl>
    <w:lvl w:ilvl="6">
      <w:start w:val="0"/>
      <w:numFmt w:val="bullet"/>
      <w:lvlText w:val="•"/>
      <w:lvlJc w:val="left"/>
      <w:pPr>
        <w:ind w:left="8411" w:hanging="239"/>
      </w:pPr>
      <w:rPr>
        <w:rFonts w:hint="default"/>
      </w:rPr>
    </w:lvl>
    <w:lvl w:ilvl="7">
      <w:start w:val="0"/>
      <w:numFmt w:val="bullet"/>
      <w:lvlText w:val="•"/>
      <w:lvlJc w:val="left"/>
      <w:pPr>
        <w:ind w:left="9059" w:hanging="239"/>
      </w:pPr>
      <w:rPr>
        <w:rFonts w:hint="default"/>
      </w:rPr>
    </w:lvl>
    <w:lvl w:ilvl="8">
      <w:start w:val="0"/>
      <w:numFmt w:val="bullet"/>
      <w:lvlText w:val="•"/>
      <w:lvlJc w:val="left"/>
      <w:pPr>
        <w:ind w:left="9708" w:hanging="239"/>
      </w:pPr>
      <w:rPr>
        <w:rFonts w:hint="default"/>
      </w:rPr>
    </w:lvl>
  </w:abstractNum>
  <w:abstractNum w:abstractNumId="26">
    <w:multiLevelType w:val="hybridMultilevel"/>
    <w:lvl w:ilvl="0">
      <w:start w:val="0"/>
      <w:numFmt w:val="bullet"/>
      <w:lvlText w:val="·"/>
      <w:lvlJc w:val="left"/>
      <w:pPr>
        <w:ind w:left="872" w:hanging="142"/>
      </w:pPr>
      <w:rPr>
        <w:rFonts w:hint="default" w:ascii="Arial" w:hAnsi="Arial" w:eastAsia="Arial" w:cs="Arial"/>
        <w:color w:val="231F20"/>
        <w:w w:val="93"/>
        <w:sz w:val="18"/>
        <w:szCs w:val="18"/>
      </w:rPr>
    </w:lvl>
    <w:lvl w:ilvl="1">
      <w:start w:val="0"/>
      <w:numFmt w:val="bullet"/>
      <w:lvlText w:val="•"/>
      <w:lvlJc w:val="left"/>
      <w:pPr>
        <w:ind w:left="1493" w:hanging="142"/>
      </w:pPr>
      <w:rPr>
        <w:rFonts w:hint="default"/>
      </w:rPr>
    </w:lvl>
    <w:lvl w:ilvl="2">
      <w:start w:val="0"/>
      <w:numFmt w:val="bullet"/>
      <w:lvlText w:val="•"/>
      <w:lvlJc w:val="left"/>
      <w:pPr>
        <w:ind w:left="2106" w:hanging="142"/>
      </w:pPr>
      <w:rPr>
        <w:rFonts w:hint="default"/>
      </w:rPr>
    </w:lvl>
    <w:lvl w:ilvl="3">
      <w:start w:val="0"/>
      <w:numFmt w:val="bullet"/>
      <w:lvlText w:val="•"/>
      <w:lvlJc w:val="left"/>
      <w:pPr>
        <w:ind w:left="2719" w:hanging="142"/>
      </w:pPr>
      <w:rPr>
        <w:rFonts w:hint="default"/>
      </w:rPr>
    </w:lvl>
    <w:lvl w:ilvl="4">
      <w:start w:val="0"/>
      <w:numFmt w:val="bullet"/>
      <w:lvlText w:val="•"/>
      <w:lvlJc w:val="left"/>
      <w:pPr>
        <w:ind w:left="3332" w:hanging="142"/>
      </w:pPr>
      <w:rPr>
        <w:rFonts w:hint="default"/>
      </w:rPr>
    </w:lvl>
    <w:lvl w:ilvl="5">
      <w:start w:val="0"/>
      <w:numFmt w:val="bullet"/>
      <w:lvlText w:val="•"/>
      <w:lvlJc w:val="left"/>
      <w:pPr>
        <w:ind w:left="3945" w:hanging="142"/>
      </w:pPr>
      <w:rPr>
        <w:rFonts w:hint="default"/>
      </w:rPr>
    </w:lvl>
    <w:lvl w:ilvl="6">
      <w:start w:val="0"/>
      <w:numFmt w:val="bullet"/>
      <w:lvlText w:val="•"/>
      <w:lvlJc w:val="left"/>
      <w:pPr>
        <w:ind w:left="4558" w:hanging="142"/>
      </w:pPr>
      <w:rPr>
        <w:rFonts w:hint="default"/>
      </w:rPr>
    </w:lvl>
    <w:lvl w:ilvl="7">
      <w:start w:val="0"/>
      <w:numFmt w:val="bullet"/>
      <w:lvlText w:val="•"/>
      <w:lvlJc w:val="left"/>
      <w:pPr>
        <w:ind w:left="5171" w:hanging="142"/>
      </w:pPr>
      <w:rPr>
        <w:rFonts w:hint="default"/>
      </w:rPr>
    </w:lvl>
    <w:lvl w:ilvl="8">
      <w:start w:val="0"/>
      <w:numFmt w:val="bullet"/>
      <w:lvlText w:val="•"/>
      <w:lvlJc w:val="left"/>
      <w:pPr>
        <w:ind w:left="5784" w:hanging="142"/>
      </w:pPr>
      <w:rPr>
        <w:rFonts w:hint="default"/>
      </w:rPr>
    </w:lvl>
  </w:abstractNum>
  <w:abstractNum w:abstractNumId="1">
    <w:multiLevelType w:val="hybridMultilevel"/>
    <w:lvl w:ilvl="0">
      <w:start w:val="0"/>
      <w:numFmt w:val="bullet"/>
      <w:lvlText w:val="·"/>
      <w:lvlJc w:val="left"/>
      <w:pPr>
        <w:ind w:left="872" w:hanging="142"/>
      </w:pPr>
      <w:rPr>
        <w:rFonts w:hint="default" w:ascii="Arial" w:hAnsi="Arial" w:eastAsia="Arial" w:cs="Arial"/>
        <w:color w:val="231F20"/>
        <w:w w:val="93"/>
        <w:sz w:val="18"/>
        <w:szCs w:val="18"/>
      </w:rPr>
    </w:lvl>
    <w:lvl w:ilvl="1">
      <w:start w:val="0"/>
      <w:numFmt w:val="bullet"/>
      <w:lvlText w:val="•"/>
      <w:lvlJc w:val="left"/>
      <w:pPr>
        <w:ind w:left="1514" w:hanging="142"/>
      </w:pPr>
      <w:rPr>
        <w:rFonts w:hint="default"/>
      </w:rPr>
    </w:lvl>
    <w:lvl w:ilvl="2">
      <w:start w:val="0"/>
      <w:numFmt w:val="bullet"/>
      <w:lvlText w:val="•"/>
      <w:lvlJc w:val="left"/>
      <w:pPr>
        <w:ind w:left="2149" w:hanging="142"/>
      </w:pPr>
      <w:rPr>
        <w:rFonts w:hint="default"/>
      </w:rPr>
    </w:lvl>
    <w:lvl w:ilvl="3">
      <w:start w:val="0"/>
      <w:numFmt w:val="bullet"/>
      <w:lvlText w:val="•"/>
      <w:lvlJc w:val="left"/>
      <w:pPr>
        <w:ind w:left="2783" w:hanging="142"/>
      </w:pPr>
      <w:rPr>
        <w:rFonts w:hint="default"/>
      </w:rPr>
    </w:lvl>
    <w:lvl w:ilvl="4">
      <w:start w:val="0"/>
      <w:numFmt w:val="bullet"/>
      <w:lvlText w:val="•"/>
      <w:lvlJc w:val="left"/>
      <w:pPr>
        <w:ind w:left="3418" w:hanging="142"/>
      </w:pPr>
      <w:rPr>
        <w:rFonts w:hint="default"/>
      </w:rPr>
    </w:lvl>
    <w:lvl w:ilvl="5">
      <w:start w:val="0"/>
      <w:numFmt w:val="bullet"/>
      <w:lvlText w:val="•"/>
      <w:lvlJc w:val="left"/>
      <w:pPr>
        <w:ind w:left="4052" w:hanging="142"/>
      </w:pPr>
      <w:rPr>
        <w:rFonts w:hint="default"/>
      </w:rPr>
    </w:lvl>
    <w:lvl w:ilvl="6">
      <w:start w:val="0"/>
      <w:numFmt w:val="bullet"/>
      <w:lvlText w:val="•"/>
      <w:lvlJc w:val="left"/>
      <w:pPr>
        <w:ind w:left="4687" w:hanging="142"/>
      </w:pPr>
      <w:rPr>
        <w:rFonts w:hint="default"/>
      </w:rPr>
    </w:lvl>
    <w:lvl w:ilvl="7">
      <w:start w:val="0"/>
      <w:numFmt w:val="bullet"/>
      <w:lvlText w:val="•"/>
      <w:lvlJc w:val="left"/>
      <w:pPr>
        <w:ind w:left="5322" w:hanging="142"/>
      </w:pPr>
      <w:rPr>
        <w:rFonts w:hint="default"/>
      </w:rPr>
    </w:lvl>
    <w:lvl w:ilvl="8">
      <w:start w:val="0"/>
      <w:numFmt w:val="bullet"/>
      <w:lvlText w:val="•"/>
      <w:lvlJc w:val="left"/>
      <w:pPr>
        <w:ind w:left="5956" w:hanging="142"/>
      </w:pPr>
      <w:rPr>
        <w:rFonts w:hint="default"/>
      </w:rPr>
    </w:lvl>
  </w:abstractNum>
  <w:abstractNum w:abstractNumId="31">
    <w:multiLevelType w:val="hybridMultilevel"/>
    <w:lvl w:ilvl="0">
      <w:start w:val="1"/>
      <w:numFmt w:val="lowerRoman"/>
      <w:lvlText w:val="%1)"/>
      <w:lvlJc w:val="left"/>
      <w:pPr>
        <w:ind w:left="1382" w:hanging="256"/>
        <w:jc w:val="left"/>
      </w:pPr>
      <w:rPr>
        <w:rFonts w:hint="default" w:ascii="Arial Narrow" w:hAnsi="Arial Narrow" w:eastAsia="Arial Narrow" w:cs="Arial Narrow"/>
        <w:color w:val="231F20"/>
        <w:spacing w:val="0"/>
        <w:w w:val="100"/>
        <w:sz w:val="18"/>
        <w:szCs w:val="18"/>
      </w:rPr>
    </w:lvl>
    <w:lvl w:ilvl="1">
      <w:start w:val="0"/>
      <w:numFmt w:val="bullet"/>
      <w:lvlText w:val="•"/>
      <w:lvlJc w:val="left"/>
      <w:pPr>
        <w:ind w:left="2342" w:hanging="256"/>
      </w:pPr>
      <w:rPr>
        <w:rFonts w:hint="default"/>
      </w:rPr>
    </w:lvl>
    <w:lvl w:ilvl="2">
      <w:start w:val="0"/>
      <w:numFmt w:val="bullet"/>
      <w:lvlText w:val="•"/>
      <w:lvlJc w:val="left"/>
      <w:pPr>
        <w:ind w:left="3305" w:hanging="256"/>
      </w:pPr>
      <w:rPr>
        <w:rFonts w:hint="default"/>
      </w:rPr>
    </w:lvl>
    <w:lvl w:ilvl="3">
      <w:start w:val="0"/>
      <w:numFmt w:val="bullet"/>
      <w:lvlText w:val="•"/>
      <w:lvlJc w:val="left"/>
      <w:pPr>
        <w:ind w:left="4267" w:hanging="256"/>
      </w:pPr>
      <w:rPr>
        <w:rFonts w:hint="default"/>
      </w:rPr>
    </w:lvl>
    <w:lvl w:ilvl="4">
      <w:start w:val="0"/>
      <w:numFmt w:val="bullet"/>
      <w:lvlText w:val="•"/>
      <w:lvlJc w:val="left"/>
      <w:pPr>
        <w:ind w:left="5230" w:hanging="256"/>
      </w:pPr>
      <w:rPr>
        <w:rFonts w:hint="default"/>
      </w:rPr>
    </w:lvl>
    <w:lvl w:ilvl="5">
      <w:start w:val="0"/>
      <w:numFmt w:val="bullet"/>
      <w:lvlText w:val="•"/>
      <w:lvlJc w:val="left"/>
      <w:pPr>
        <w:ind w:left="6192" w:hanging="256"/>
      </w:pPr>
      <w:rPr>
        <w:rFonts w:hint="default"/>
      </w:rPr>
    </w:lvl>
    <w:lvl w:ilvl="6">
      <w:start w:val="0"/>
      <w:numFmt w:val="bullet"/>
      <w:lvlText w:val="•"/>
      <w:lvlJc w:val="left"/>
      <w:pPr>
        <w:ind w:left="7155" w:hanging="256"/>
      </w:pPr>
      <w:rPr>
        <w:rFonts w:hint="default"/>
      </w:rPr>
    </w:lvl>
    <w:lvl w:ilvl="7">
      <w:start w:val="0"/>
      <w:numFmt w:val="bullet"/>
      <w:lvlText w:val="•"/>
      <w:lvlJc w:val="left"/>
      <w:pPr>
        <w:ind w:left="8117" w:hanging="256"/>
      </w:pPr>
      <w:rPr>
        <w:rFonts w:hint="default"/>
      </w:rPr>
    </w:lvl>
    <w:lvl w:ilvl="8">
      <w:start w:val="0"/>
      <w:numFmt w:val="bullet"/>
      <w:lvlText w:val="•"/>
      <w:lvlJc w:val="left"/>
      <w:pPr>
        <w:ind w:left="9080" w:hanging="256"/>
      </w:pPr>
      <w:rPr>
        <w:rFonts w:hint="default"/>
      </w:rPr>
    </w:lvl>
  </w:abstractNum>
  <w:abstractNum w:abstractNumId="30">
    <w:multiLevelType w:val="hybridMultilevel"/>
    <w:lvl w:ilvl="0">
      <w:start w:val="1"/>
      <w:numFmt w:val="lowerLetter"/>
      <w:lvlText w:val="%1."/>
      <w:lvlJc w:val="left"/>
      <w:pPr>
        <w:ind w:left="4511" w:hanging="239"/>
        <w:jc w:val="right"/>
      </w:pPr>
      <w:rPr>
        <w:rFonts w:hint="default" w:ascii="Arial Narrow" w:hAnsi="Arial Narrow" w:eastAsia="Arial Narrow" w:cs="Arial Narrow"/>
        <w:color w:val="231F20"/>
        <w:spacing w:val="-12"/>
        <w:w w:val="100"/>
        <w:sz w:val="18"/>
        <w:szCs w:val="18"/>
      </w:rPr>
    </w:lvl>
    <w:lvl w:ilvl="1">
      <w:start w:val="0"/>
      <w:numFmt w:val="bullet"/>
      <w:lvlText w:val="•"/>
      <w:lvlJc w:val="left"/>
      <w:pPr>
        <w:ind w:left="5168" w:hanging="239"/>
      </w:pPr>
      <w:rPr>
        <w:rFonts w:hint="default"/>
      </w:rPr>
    </w:lvl>
    <w:lvl w:ilvl="2">
      <w:start w:val="0"/>
      <w:numFmt w:val="bullet"/>
      <w:lvlText w:val="•"/>
      <w:lvlJc w:val="left"/>
      <w:pPr>
        <w:ind w:left="5817" w:hanging="239"/>
      </w:pPr>
      <w:rPr>
        <w:rFonts w:hint="default"/>
      </w:rPr>
    </w:lvl>
    <w:lvl w:ilvl="3">
      <w:start w:val="0"/>
      <w:numFmt w:val="bullet"/>
      <w:lvlText w:val="•"/>
      <w:lvlJc w:val="left"/>
      <w:pPr>
        <w:ind w:left="6465" w:hanging="239"/>
      </w:pPr>
      <w:rPr>
        <w:rFonts w:hint="default"/>
      </w:rPr>
    </w:lvl>
    <w:lvl w:ilvl="4">
      <w:start w:val="0"/>
      <w:numFmt w:val="bullet"/>
      <w:lvlText w:val="•"/>
      <w:lvlJc w:val="left"/>
      <w:pPr>
        <w:ind w:left="7114" w:hanging="239"/>
      </w:pPr>
      <w:rPr>
        <w:rFonts w:hint="default"/>
      </w:rPr>
    </w:lvl>
    <w:lvl w:ilvl="5">
      <w:start w:val="0"/>
      <w:numFmt w:val="bullet"/>
      <w:lvlText w:val="•"/>
      <w:lvlJc w:val="left"/>
      <w:pPr>
        <w:ind w:left="7762" w:hanging="239"/>
      </w:pPr>
      <w:rPr>
        <w:rFonts w:hint="default"/>
      </w:rPr>
    </w:lvl>
    <w:lvl w:ilvl="6">
      <w:start w:val="0"/>
      <w:numFmt w:val="bullet"/>
      <w:lvlText w:val="•"/>
      <w:lvlJc w:val="left"/>
      <w:pPr>
        <w:ind w:left="8411" w:hanging="239"/>
      </w:pPr>
      <w:rPr>
        <w:rFonts w:hint="default"/>
      </w:rPr>
    </w:lvl>
    <w:lvl w:ilvl="7">
      <w:start w:val="0"/>
      <w:numFmt w:val="bullet"/>
      <w:lvlText w:val="•"/>
      <w:lvlJc w:val="left"/>
      <w:pPr>
        <w:ind w:left="9059" w:hanging="239"/>
      </w:pPr>
      <w:rPr>
        <w:rFonts w:hint="default"/>
      </w:rPr>
    </w:lvl>
    <w:lvl w:ilvl="8">
      <w:start w:val="0"/>
      <w:numFmt w:val="bullet"/>
      <w:lvlText w:val="•"/>
      <w:lvlJc w:val="left"/>
      <w:pPr>
        <w:ind w:left="9708" w:hanging="239"/>
      </w:pPr>
      <w:rPr>
        <w:rFonts w:hint="default"/>
      </w:rPr>
    </w:lvl>
  </w:abstractNum>
  <w:abstractNum w:abstractNumId="27">
    <w:multiLevelType w:val="hybridMultilevel"/>
    <w:lvl w:ilvl="0">
      <w:start w:val="1"/>
      <w:numFmt w:val="lowerLetter"/>
      <w:lvlText w:val="%1"/>
      <w:lvlJc w:val="left"/>
      <w:pPr>
        <w:ind w:left="1347" w:hanging="738"/>
        <w:jc w:val="left"/>
      </w:pPr>
      <w:rPr>
        <w:rFonts w:hint="default" w:ascii="Arial Narrow" w:hAnsi="Arial Narrow" w:eastAsia="Arial Narrow" w:cs="Arial Narrow"/>
        <w:b/>
        <w:bCs/>
        <w:color w:val="808285"/>
        <w:w w:val="99"/>
        <w:position w:val="2"/>
        <w:sz w:val="56"/>
        <w:szCs w:val="56"/>
      </w:rPr>
    </w:lvl>
    <w:lvl w:ilvl="1">
      <w:start w:val="0"/>
      <w:numFmt w:val="bullet"/>
      <w:lvlText w:val="•"/>
      <w:lvlJc w:val="left"/>
      <w:pPr>
        <w:ind w:left="2306" w:hanging="738"/>
      </w:pPr>
      <w:rPr>
        <w:rFonts w:hint="default"/>
      </w:rPr>
    </w:lvl>
    <w:lvl w:ilvl="2">
      <w:start w:val="0"/>
      <w:numFmt w:val="bullet"/>
      <w:lvlText w:val="•"/>
      <w:lvlJc w:val="left"/>
      <w:pPr>
        <w:ind w:left="3273" w:hanging="738"/>
      </w:pPr>
      <w:rPr>
        <w:rFonts w:hint="default"/>
      </w:rPr>
    </w:lvl>
    <w:lvl w:ilvl="3">
      <w:start w:val="0"/>
      <w:numFmt w:val="bullet"/>
      <w:lvlText w:val="•"/>
      <w:lvlJc w:val="left"/>
      <w:pPr>
        <w:ind w:left="4239" w:hanging="738"/>
      </w:pPr>
      <w:rPr>
        <w:rFonts w:hint="default"/>
      </w:rPr>
    </w:lvl>
    <w:lvl w:ilvl="4">
      <w:start w:val="0"/>
      <w:numFmt w:val="bullet"/>
      <w:lvlText w:val="•"/>
      <w:lvlJc w:val="left"/>
      <w:pPr>
        <w:ind w:left="5206" w:hanging="738"/>
      </w:pPr>
      <w:rPr>
        <w:rFonts w:hint="default"/>
      </w:rPr>
    </w:lvl>
    <w:lvl w:ilvl="5">
      <w:start w:val="0"/>
      <w:numFmt w:val="bullet"/>
      <w:lvlText w:val="•"/>
      <w:lvlJc w:val="left"/>
      <w:pPr>
        <w:ind w:left="6172" w:hanging="738"/>
      </w:pPr>
      <w:rPr>
        <w:rFonts w:hint="default"/>
      </w:rPr>
    </w:lvl>
    <w:lvl w:ilvl="6">
      <w:start w:val="0"/>
      <w:numFmt w:val="bullet"/>
      <w:lvlText w:val="•"/>
      <w:lvlJc w:val="left"/>
      <w:pPr>
        <w:ind w:left="7139" w:hanging="738"/>
      </w:pPr>
      <w:rPr>
        <w:rFonts w:hint="default"/>
      </w:rPr>
    </w:lvl>
    <w:lvl w:ilvl="7">
      <w:start w:val="0"/>
      <w:numFmt w:val="bullet"/>
      <w:lvlText w:val="•"/>
      <w:lvlJc w:val="left"/>
      <w:pPr>
        <w:ind w:left="8105" w:hanging="738"/>
      </w:pPr>
      <w:rPr>
        <w:rFonts w:hint="default"/>
      </w:rPr>
    </w:lvl>
    <w:lvl w:ilvl="8">
      <w:start w:val="0"/>
      <w:numFmt w:val="bullet"/>
      <w:lvlText w:val="•"/>
      <w:lvlJc w:val="left"/>
      <w:pPr>
        <w:ind w:left="9072" w:hanging="738"/>
      </w:pPr>
      <w:rPr>
        <w:rFonts w:hint="default"/>
      </w:rPr>
    </w:lvl>
  </w:abstractNum>
  <w:abstractNum w:abstractNumId="25">
    <w:multiLevelType w:val="hybridMultilevel"/>
    <w:lvl w:ilvl="0">
      <w:start w:val="0"/>
      <w:numFmt w:val="bullet"/>
      <w:lvlText w:val="·"/>
      <w:lvlJc w:val="left"/>
      <w:pPr>
        <w:ind w:left="588" w:hanging="142"/>
      </w:pPr>
      <w:rPr>
        <w:rFonts w:hint="default" w:ascii="Arial" w:hAnsi="Arial" w:eastAsia="Arial" w:cs="Arial"/>
        <w:color w:val="231F20"/>
        <w:w w:val="93"/>
        <w:sz w:val="18"/>
        <w:szCs w:val="18"/>
      </w:rPr>
    </w:lvl>
    <w:lvl w:ilvl="1">
      <w:start w:val="0"/>
      <w:numFmt w:val="bullet"/>
      <w:lvlText w:val="·"/>
      <w:lvlJc w:val="left"/>
      <w:pPr>
        <w:ind w:left="872" w:hanging="142"/>
      </w:pPr>
      <w:rPr>
        <w:rFonts w:hint="default" w:ascii="Arial" w:hAnsi="Arial" w:eastAsia="Arial" w:cs="Arial"/>
        <w:color w:val="231F20"/>
        <w:w w:val="93"/>
        <w:sz w:val="18"/>
        <w:szCs w:val="18"/>
      </w:rPr>
    </w:lvl>
    <w:lvl w:ilvl="2">
      <w:start w:val="0"/>
      <w:numFmt w:val="bullet"/>
      <w:lvlText w:val="•"/>
      <w:lvlJc w:val="left"/>
      <w:pPr>
        <w:ind w:left="1170" w:hanging="142"/>
      </w:pPr>
      <w:rPr>
        <w:rFonts w:hint="default"/>
      </w:rPr>
    </w:lvl>
    <w:lvl w:ilvl="3">
      <w:start w:val="0"/>
      <w:numFmt w:val="bullet"/>
      <w:lvlText w:val="•"/>
      <w:lvlJc w:val="left"/>
      <w:pPr>
        <w:ind w:left="1460" w:hanging="142"/>
      </w:pPr>
      <w:rPr>
        <w:rFonts w:hint="default"/>
      </w:rPr>
    </w:lvl>
    <w:lvl w:ilvl="4">
      <w:start w:val="0"/>
      <w:numFmt w:val="bullet"/>
      <w:lvlText w:val="•"/>
      <w:lvlJc w:val="left"/>
      <w:pPr>
        <w:ind w:left="1751" w:hanging="142"/>
      </w:pPr>
      <w:rPr>
        <w:rFonts w:hint="default"/>
      </w:rPr>
    </w:lvl>
    <w:lvl w:ilvl="5">
      <w:start w:val="0"/>
      <w:numFmt w:val="bullet"/>
      <w:lvlText w:val="•"/>
      <w:lvlJc w:val="left"/>
      <w:pPr>
        <w:ind w:left="2041" w:hanging="142"/>
      </w:pPr>
      <w:rPr>
        <w:rFonts w:hint="default"/>
      </w:rPr>
    </w:lvl>
    <w:lvl w:ilvl="6">
      <w:start w:val="0"/>
      <w:numFmt w:val="bullet"/>
      <w:lvlText w:val="•"/>
      <w:lvlJc w:val="left"/>
      <w:pPr>
        <w:ind w:left="2332" w:hanging="142"/>
      </w:pPr>
      <w:rPr>
        <w:rFonts w:hint="default"/>
      </w:rPr>
    </w:lvl>
    <w:lvl w:ilvl="7">
      <w:start w:val="0"/>
      <w:numFmt w:val="bullet"/>
      <w:lvlText w:val="•"/>
      <w:lvlJc w:val="left"/>
      <w:pPr>
        <w:ind w:left="2622" w:hanging="142"/>
      </w:pPr>
      <w:rPr>
        <w:rFonts w:hint="default"/>
      </w:rPr>
    </w:lvl>
    <w:lvl w:ilvl="8">
      <w:start w:val="0"/>
      <w:numFmt w:val="bullet"/>
      <w:lvlText w:val="•"/>
      <w:lvlJc w:val="left"/>
      <w:pPr>
        <w:ind w:left="2913" w:hanging="142"/>
      </w:pPr>
      <w:rPr>
        <w:rFonts w:hint="default"/>
      </w:rPr>
    </w:lvl>
  </w:abstractNum>
  <w:abstractNum w:abstractNumId="24">
    <w:multiLevelType w:val="hybridMultilevel"/>
    <w:lvl w:ilvl="0">
      <w:start w:val="0"/>
      <w:numFmt w:val="bullet"/>
      <w:lvlText w:val="·"/>
      <w:lvlJc w:val="left"/>
      <w:pPr>
        <w:ind w:left="191" w:hanging="142"/>
      </w:pPr>
      <w:rPr>
        <w:rFonts w:hint="default" w:ascii="Arial" w:hAnsi="Arial" w:eastAsia="Arial" w:cs="Arial"/>
        <w:color w:val="231F20"/>
        <w:w w:val="93"/>
        <w:sz w:val="18"/>
        <w:szCs w:val="18"/>
      </w:rPr>
    </w:lvl>
    <w:lvl w:ilvl="1">
      <w:start w:val="0"/>
      <w:numFmt w:val="bullet"/>
      <w:lvlText w:val="•"/>
      <w:lvlJc w:val="left"/>
      <w:pPr>
        <w:ind w:left="485" w:hanging="142"/>
      </w:pPr>
      <w:rPr>
        <w:rFonts w:hint="default"/>
      </w:rPr>
    </w:lvl>
    <w:lvl w:ilvl="2">
      <w:start w:val="0"/>
      <w:numFmt w:val="bullet"/>
      <w:lvlText w:val="•"/>
      <w:lvlJc w:val="left"/>
      <w:pPr>
        <w:ind w:left="770" w:hanging="142"/>
      </w:pPr>
      <w:rPr>
        <w:rFonts w:hint="default"/>
      </w:rPr>
    </w:lvl>
    <w:lvl w:ilvl="3">
      <w:start w:val="0"/>
      <w:numFmt w:val="bullet"/>
      <w:lvlText w:val="•"/>
      <w:lvlJc w:val="left"/>
      <w:pPr>
        <w:ind w:left="1056" w:hanging="142"/>
      </w:pPr>
      <w:rPr>
        <w:rFonts w:hint="default"/>
      </w:rPr>
    </w:lvl>
    <w:lvl w:ilvl="4">
      <w:start w:val="0"/>
      <w:numFmt w:val="bullet"/>
      <w:lvlText w:val="•"/>
      <w:lvlJc w:val="left"/>
      <w:pPr>
        <w:ind w:left="1341" w:hanging="142"/>
      </w:pPr>
      <w:rPr>
        <w:rFonts w:hint="default"/>
      </w:rPr>
    </w:lvl>
    <w:lvl w:ilvl="5">
      <w:start w:val="0"/>
      <w:numFmt w:val="bullet"/>
      <w:lvlText w:val="•"/>
      <w:lvlJc w:val="left"/>
      <w:pPr>
        <w:ind w:left="1627" w:hanging="142"/>
      </w:pPr>
      <w:rPr>
        <w:rFonts w:hint="default"/>
      </w:rPr>
    </w:lvl>
    <w:lvl w:ilvl="6">
      <w:start w:val="0"/>
      <w:numFmt w:val="bullet"/>
      <w:lvlText w:val="•"/>
      <w:lvlJc w:val="left"/>
      <w:pPr>
        <w:ind w:left="1912" w:hanging="142"/>
      </w:pPr>
      <w:rPr>
        <w:rFonts w:hint="default"/>
      </w:rPr>
    </w:lvl>
    <w:lvl w:ilvl="7">
      <w:start w:val="0"/>
      <w:numFmt w:val="bullet"/>
      <w:lvlText w:val="•"/>
      <w:lvlJc w:val="left"/>
      <w:pPr>
        <w:ind w:left="2197" w:hanging="142"/>
      </w:pPr>
      <w:rPr>
        <w:rFonts w:hint="default"/>
      </w:rPr>
    </w:lvl>
    <w:lvl w:ilvl="8">
      <w:start w:val="0"/>
      <w:numFmt w:val="bullet"/>
      <w:lvlText w:val="•"/>
      <w:lvlJc w:val="left"/>
      <w:pPr>
        <w:ind w:left="2483" w:hanging="142"/>
      </w:pPr>
      <w:rPr>
        <w:rFonts w:hint="default"/>
      </w:rPr>
    </w:lvl>
  </w:abstractNum>
  <w:abstractNum w:abstractNumId="23">
    <w:multiLevelType w:val="hybridMultilevel"/>
    <w:lvl w:ilvl="0">
      <w:start w:val="0"/>
      <w:numFmt w:val="bullet"/>
      <w:lvlText w:val="·"/>
      <w:lvlJc w:val="left"/>
      <w:pPr>
        <w:ind w:left="191" w:hanging="142"/>
      </w:pPr>
      <w:rPr>
        <w:rFonts w:hint="default" w:ascii="Arial" w:hAnsi="Arial" w:eastAsia="Arial" w:cs="Arial"/>
        <w:color w:val="231F20"/>
        <w:w w:val="93"/>
        <w:sz w:val="18"/>
        <w:szCs w:val="18"/>
      </w:rPr>
    </w:lvl>
    <w:lvl w:ilvl="1">
      <w:start w:val="0"/>
      <w:numFmt w:val="bullet"/>
      <w:lvlText w:val="•"/>
      <w:lvlJc w:val="left"/>
      <w:pPr>
        <w:ind w:left="485" w:hanging="142"/>
      </w:pPr>
      <w:rPr>
        <w:rFonts w:hint="default"/>
      </w:rPr>
    </w:lvl>
    <w:lvl w:ilvl="2">
      <w:start w:val="0"/>
      <w:numFmt w:val="bullet"/>
      <w:lvlText w:val="•"/>
      <w:lvlJc w:val="left"/>
      <w:pPr>
        <w:ind w:left="770" w:hanging="142"/>
      </w:pPr>
      <w:rPr>
        <w:rFonts w:hint="default"/>
      </w:rPr>
    </w:lvl>
    <w:lvl w:ilvl="3">
      <w:start w:val="0"/>
      <w:numFmt w:val="bullet"/>
      <w:lvlText w:val="•"/>
      <w:lvlJc w:val="left"/>
      <w:pPr>
        <w:ind w:left="1056" w:hanging="142"/>
      </w:pPr>
      <w:rPr>
        <w:rFonts w:hint="default"/>
      </w:rPr>
    </w:lvl>
    <w:lvl w:ilvl="4">
      <w:start w:val="0"/>
      <w:numFmt w:val="bullet"/>
      <w:lvlText w:val="•"/>
      <w:lvlJc w:val="left"/>
      <w:pPr>
        <w:ind w:left="1341" w:hanging="142"/>
      </w:pPr>
      <w:rPr>
        <w:rFonts w:hint="default"/>
      </w:rPr>
    </w:lvl>
    <w:lvl w:ilvl="5">
      <w:start w:val="0"/>
      <w:numFmt w:val="bullet"/>
      <w:lvlText w:val="•"/>
      <w:lvlJc w:val="left"/>
      <w:pPr>
        <w:ind w:left="1627" w:hanging="142"/>
      </w:pPr>
      <w:rPr>
        <w:rFonts w:hint="default"/>
      </w:rPr>
    </w:lvl>
    <w:lvl w:ilvl="6">
      <w:start w:val="0"/>
      <w:numFmt w:val="bullet"/>
      <w:lvlText w:val="•"/>
      <w:lvlJc w:val="left"/>
      <w:pPr>
        <w:ind w:left="1912" w:hanging="142"/>
      </w:pPr>
      <w:rPr>
        <w:rFonts w:hint="default"/>
      </w:rPr>
    </w:lvl>
    <w:lvl w:ilvl="7">
      <w:start w:val="0"/>
      <w:numFmt w:val="bullet"/>
      <w:lvlText w:val="•"/>
      <w:lvlJc w:val="left"/>
      <w:pPr>
        <w:ind w:left="2197" w:hanging="142"/>
      </w:pPr>
      <w:rPr>
        <w:rFonts w:hint="default"/>
      </w:rPr>
    </w:lvl>
    <w:lvl w:ilvl="8">
      <w:start w:val="0"/>
      <w:numFmt w:val="bullet"/>
      <w:lvlText w:val="•"/>
      <w:lvlJc w:val="left"/>
      <w:pPr>
        <w:ind w:left="2483" w:hanging="142"/>
      </w:pPr>
      <w:rPr>
        <w:rFonts w:hint="default"/>
      </w:rPr>
    </w:lvl>
  </w:abstractNum>
  <w:abstractNum w:abstractNumId="22">
    <w:multiLevelType w:val="hybridMultilevel"/>
    <w:lvl w:ilvl="0">
      <w:start w:val="0"/>
      <w:numFmt w:val="bullet"/>
      <w:lvlText w:val="·"/>
      <w:lvlJc w:val="left"/>
      <w:pPr>
        <w:ind w:left="191" w:hanging="142"/>
      </w:pPr>
      <w:rPr>
        <w:rFonts w:hint="default" w:ascii="Arial" w:hAnsi="Arial" w:eastAsia="Arial" w:cs="Arial"/>
        <w:color w:val="231F20"/>
        <w:w w:val="93"/>
        <w:sz w:val="18"/>
        <w:szCs w:val="18"/>
      </w:rPr>
    </w:lvl>
    <w:lvl w:ilvl="1">
      <w:start w:val="0"/>
      <w:numFmt w:val="bullet"/>
      <w:lvlText w:val="•"/>
      <w:lvlJc w:val="left"/>
      <w:pPr>
        <w:ind w:left="485" w:hanging="142"/>
      </w:pPr>
      <w:rPr>
        <w:rFonts w:hint="default"/>
      </w:rPr>
    </w:lvl>
    <w:lvl w:ilvl="2">
      <w:start w:val="0"/>
      <w:numFmt w:val="bullet"/>
      <w:lvlText w:val="•"/>
      <w:lvlJc w:val="left"/>
      <w:pPr>
        <w:ind w:left="770" w:hanging="142"/>
      </w:pPr>
      <w:rPr>
        <w:rFonts w:hint="default"/>
      </w:rPr>
    </w:lvl>
    <w:lvl w:ilvl="3">
      <w:start w:val="0"/>
      <w:numFmt w:val="bullet"/>
      <w:lvlText w:val="•"/>
      <w:lvlJc w:val="left"/>
      <w:pPr>
        <w:ind w:left="1056" w:hanging="142"/>
      </w:pPr>
      <w:rPr>
        <w:rFonts w:hint="default"/>
      </w:rPr>
    </w:lvl>
    <w:lvl w:ilvl="4">
      <w:start w:val="0"/>
      <w:numFmt w:val="bullet"/>
      <w:lvlText w:val="•"/>
      <w:lvlJc w:val="left"/>
      <w:pPr>
        <w:ind w:left="1341" w:hanging="142"/>
      </w:pPr>
      <w:rPr>
        <w:rFonts w:hint="default"/>
      </w:rPr>
    </w:lvl>
    <w:lvl w:ilvl="5">
      <w:start w:val="0"/>
      <w:numFmt w:val="bullet"/>
      <w:lvlText w:val="•"/>
      <w:lvlJc w:val="left"/>
      <w:pPr>
        <w:ind w:left="1627" w:hanging="142"/>
      </w:pPr>
      <w:rPr>
        <w:rFonts w:hint="default"/>
      </w:rPr>
    </w:lvl>
    <w:lvl w:ilvl="6">
      <w:start w:val="0"/>
      <w:numFmt w:val="bullet"/>
      <w:lvlText w:val="•"/>
      <w:lvlJc w:val="left"/>
      <w:pPr>
        <w:ind w:left="1912" w:hanging="142"/>
      </w:pPr>
      <w:rPr>
        <w:rFonts w:hint="default"/>
      </w:rPr>
    </w:lvl>
    <w:lvl w:ilvl="7">
      <w:start w:val="0"/>
      <w:numFmt w:val="bullet"/>
      <w:lvlText w:val="•"/>
      <w:lvlJc w:val="left"/>
      <w:pPr>
        <w:ind w:left="2197" w:hanging="142"/>
      </w:pPr>
      <w:rPr>
        <w:rFonts w:hint="default"/>
      </w:rPr>
    </w:lvl>
    <w:lvl w:ilvl="8">
      <w:start w:val="0"/>
      <w:numFmt w:val="bullet"/>
      <w:lvlText w:val="•"/>
      <w:lvlJc w:val="left"/>
      <w:pPr>
        <w:ind w:left="2483" w:hanging="142"/>
      </w:pPr>
      <w:rPr>
        <w:rFonts w:hint="default"/>
      </w:rPr>
    </w:lvl>
  </w:abstractNum>
  <w:abstractNum w:abstractNumId="21">
    <w:multiLevelType w:val="hybridMultilevel"/>
    <w:lvl w:ilvl="0">
      <w:start w:val="1"/>
      <w:numFmt w:val="decimal"/>
      <w:lvlText w:val="%1."/>
      <w:lvlJc w:val="left"/>
      <w:pPr>
        <w:ind w:left="277" w:hanging="165"/>
        <w:jc w:val="left"/>
      </w:pPr>
      <w:rPr>
        <w:rFonts w:hint="default" w:ascii="Arial Narrow" w:hAnsi="Arial Narrow" w:eastAsia="Arial Narrow" w:cs="Arial Narrow"/>
        <w:color w:val="231F20"/>
        <w:spacing w:val="-1"/>
        <w:w w:val="100"/>
        <w:sz w:val="18"/>
        <w:szCs w:val="18"/>
      </w:rPr>
    </w:lvl>
    <w:lvl w:ilvl="1">
      <w:start w:val="0"/>
      <w:numFmt w:val="bullet"/>
      <w:lvlText w:val="•"/>
      <w:lvlJc w:val="left"/>
      <w:pPr>
        <w:ind w:left="648" w:hanging="165"/>
      </w:pPr>
      <w:rPr>
        <w:rFonts w:hint="default"/>
      </w:rPr>
    </w:lvl>
    <w:lvl w:ilvl="2">
      <w:start w:val="0"/>
      <w:numFmt w:val="bullet"/>
      <w:lvlText w:val="•"/>
      <w:lvlJc w:val="left"/>
      <w:pPr>
        <w:ind w:left="1016" w:hanging="165"/>
      </w:pPr>
      <w:rPr>
        <w:rFonts w:hint="default"/>
      </w:rPr>
    </w:lvl>
    <w:lvl w:ilvl="3">
      <w:start w:val="0"/>
      <w:numFmt w:val="bullet"/>
      <w:lvlText w:val="•"/>
      <w:lvlJc w:val="left"/>
      <w:pPr>
        <w:ind w:left="1384" w:hanging="165"/>
      </w:pPr>
      <w:rPr>
        <w:rFonts w:hint="default"/>
      </w:rPr>
    </w:lvl>
    <w:lvl w:ilvl="4">
      <w:start w:val="0"/>
      <w:numFmt w:val="bullet"/>
      <w:lvlText w:val="•"/>
      <w:lvlJc w:val="left"/>
      <w:pPr>
        <w:ind w:left="1752" w:hanging="165"/>
      </w:pPr>
      <w:rPr>
        <w:rFonts w:hint="default"/>
      </w:rPr>
    </w:lvl>
    <w:lvl w:ilvl="5">
      <w:start w:val="0"/>
      <w:numFmt w:val="bullet"/>
      <w:lvlText w:val="•"/>
      <w:lvlJc w:val="left"/>
      <w:pPr>
        <w:ind w:left="2120" w:hanging="165"/>
      </w:pPr>
      <w:rPr>
        <w:rFonts w:hint="default"/>
      </w:rPr>
    </w:lvl>
    <w:lvl w:ilvl="6">
      <w:start w:val="0"/>
      <w:numFmt w:val="bullet"/>
      <w:lvlText w:val="•"/>
      <w:lvlJc w:val="left"/>
      <w:pPr>
        <w:ind w:left="2488" w:hanging="165"/>
      </w:pPr>
      <w:rPr>
        <w:rFonts w:hint="default"/>
      </w:rPr>
    </w:lvl>
    <w:lvl w:ilvl="7">
      <w:start w:val="0"/>
      <w:numFmt w:val="bullet"/>
      <w:lvlText w:val="•"/>
      <w:lvlJc w:val="left"/>
      <w:pPr>
        <w:ind w:left="2856" w:hanging="165"/>
      </w:pPr>
      <w:rPr>
        <w:rFonts w:hint="default"/>
      </w:rPr>
    </w:lvl>
    <w:lvl w:ilvl="8">
      <w:start w:val="0"/>
      <w:numFmt w:val="bullet"/>
      <w:lvlText w:val="•"/>
      <w:lvlJc w:val="left"/>
      <w:pPr>
        <w:ind w:left="3224" w:hanging="165"/>
      </w:pPr>
      <w:rPr>
        <w:rFonts w:hint="default"/>
      </w:rPr>
    </w:lvl>
  </w:abstractNum>
  <w:abstractNum w:abstractNumId="20">
    <w:multiLevelType w:val="hybridMultilevel"/>
    <w:lvl w:ilvl="0">
      <w:start w:val="1"/>
      <w:numFmt w:val="decimal"/>
      <w:lvlText w:val="%1."/>
      <w:lvlJc w:val="left"/>
      <w:pPr>
        <w:ind w:left="275" w:hanging="162"/>
        <w:jc w:val="left"/>
      </w:pPr>
      <w:rPr>
        <w:rFonts w:hint="default" w:ascii="Arial Narrow" w:hAnsi="Arial Narrow" w:eastAsia="Arial Narrow" w:cs="Arial Narrow"/>
        <w:color w:val="231F20"/>
        <w:spacing w:val="-1"/>
        <w:w w:val="100"/>
        <w:sz w:val="18"/>
        <w:szCs w:val="18"/>
      </w:rPr>
    </w:lvl>
    <w:lvl w:ilvl="1">
      <w:start w:val="0"/>
      <w:numFmt w:val="bullet"/>
      <w:lvlText w:val="•"/>
      <w:lvlJc w:val="left"/>
      <w:pPr>
        <w:ind w:left="648" w:hanging="162"/>
      </w:pPr>
      <w:rPr>
        <w:rFonts w:hint="default"/>
      </w:rPr>
    </w:lvl>
    <w:lvl w:ilvl="2">
      <w:start w:val="0"/>
      <w:numFmt w:val="bullet"/>
      <w:lvlText w:val="•"/>
      <w:lvlJc w:val="left"/>
      <w:pPr>
        <w:ind w:left="1016" w:hanging="162"/>
      </w:pPr>
      <w:rPr>
        <w:rFonts w:hint="default"/>
      </w:rPr>
    </w:lvl>
    <w:lvl w:ilvl="3">
      <w:start w:val="0"/>
      <w:numFmt w:val="bullet"/>
      <w:lvlText w:val="•"/>
      <w:lvlJc w:val="left"/>
      <w:pPr>
        <w:ind w:left="1384" w:hanging="162"/>
      </w:pPr>
      <w:rPr>
        <w:rFonts w:hint="default"/>
      </w:rPr>
    </w:lvl>
    <w:lvl w:ilvl="4">
      <w:start w:val="0"/>
      <w:numFmt w:val="bullet"/>
      <w:lvlText w:val="•"/>
      <w:lvlJc w:val="left"/>
      <w:pPr>
        <w:ind w:left="1752" w:hanging="162"/>
      </w:pPr>
      <w:rPr>
        <w:rFonts w:hint="default"/>
      </w:rPr>
    </w:lvl>
    <w:lvl w:ilvl="5">
      <w:start w:val="0"/>
      <w:numFmt w:val="bullet"/>
      <w:lvlText w:val="•"/>
      <w:lvlJc w:val="left"/>
      <w:pPr>
        <w:ind w:left="2120" w:hanging="162"/>
      </w:pPr>
      <w:rPr>
        <w:rFonts w:hint="default"/>
      </w:rPr>
    </w:lvl>
    <w:lvl w:ilvl="6">
      <w:start w:val="0"/>
      <w:numFmt w:val="bullet"/>
      <w:lvlText w:val="•"/>
      <w:lvlJc w:val="left"/>
      <w:pPr>
        <w:ind w:left="2488" w:hanging="162"/>
      </w:pPr>
      <w:rPr>
        <w:rFonts w:hint="default"/>
      </w:rPr>
    </w:lvl>
    <w:lvl w:ilvl="7">
      <w:start w:val="0"/>
      <w:numFmt w:val="bullet"/>
      <w:lvlText w:val="•"/>
      <w:lvlJc w:val="left"/>
      <w:pPr>
        <w:ind w:left="2856" w:hanging="162"/>
      </w:pPr>
      <w:rPr>
        <w:rFonts w:hint="default"/>
      </w:rPr>
    </w:lvl>
    <w:lvl w:ilvl="8">
      <w:start w:val="0"/>
      <w:numFmt w:val="bullet"/>
      <w:lvlText w:val="•"/>
      <w:lvlJc w:val="left"/>
      <w:pPr>
        <w:ind w:left="3224" w:hanging="162"/>
      </w:pPr>
      <w:rPr>
        <w:rFonts w:hint="default"/>
      </w:rPr>
    </w:lvl>
  </w:abstractNum>
  <w:abstractNum w:abstractNumId="19">
    <w:multiLevelType w:val="hybridMultilevel"/>
    <w:lvl w:ilvl="0">
      <w:start w:val="1"/>
      <w:numFmt w:val="decimal"/>
      <w:lvlText w:val="%1."/>
      <w:lvlJc w:val="left"/>
      <w:pPr>
        <w:ind w:left="275" w:hanging="162"/>
        <w:jc w:val="left"/>
      </w:pPr>
      <w:rPr>
        <w:rFonts w:hint="default" w:ascii="Arial Narrow" w:hAnsi="Arial Narrow" w:eastAsia="Arial Narrow" w:cs="Arial Narrow"/>
        <w:color w:val="231F20"/>
        <w:spacing w:val="-1"/>
        <w:w w:val="100"/>
        <w:sz w:val="18"/>
        <w:szCs w:val="18"/>
      </w:rPr>
    </w:lvl>
    <w:lvl w:ilvl="1">
      <w:start w:val="0"/>
      <w:numFmt w:val="bullet"/>
      <w:lvlText w:val="•"/>
      <w:lvlJc w:val="left"/>
      <w:pPr>
        <w:ind w:left="648" w:hanging="162"/>
      </w:pPr>
      <w:rPr>
        <w:rFonts w:hint="default"/>
      </w:rPr>
    </w:lvl>
    <w:lvl w:ilvl="2">
      <w:start w:val="0"/>
      <w:numFmt w:val="bullet"/>
      <w:lvlText w:val="•"/>
      <w:lvlJc w:val="left"/>
      <w:pPr>
        <w:ind w:left="1016" w:hanging="162"/>
      </w:pPr>
      <w:rPr>
        <w:rFonts w:hint="default"/>
      </w:rPr>
    </w:lvl>
    <w:lvl w:ilvl="3">
      <w:start w:val="0"/>
      <w:numFmt w:val="bullet"/>
      <w:lvlText w:val="•"/>
      <w:lvlJc w:val="left"/>
      <w:pPr>
        <w:ind w:left="1384" w:hanging="162"/>
      </w:pPr>
      <w:rPr>
        <w:rFonts w:hint="default"/>
      </w:rPr>
    </w:lvl>
    <w:lvl w:ilvl="4">
      <w:start w:val="0"/>
      <w:numFmt w:val="bullet"/>
      <w:lvlText w:val="•"/>
      <w:lvlJc w:val="left"/>
      <w:pPr>
        <w:ind w:left="1752" w:hanging="162"/>
      </w:pPr>
      <w:rPr>
        <w:rFonts w:hint="default"/>
      </w:rPr>
    </w:lvl>
    <w:lvl w:ilvl="5">
      <w:start w:val="0"/>
      <w:numFmt w:val="bullet"/>
      <w:lvlText w:val="•"/>
      <w:lvlJc w:val="left"/>
      <w:pPr>
        <w:ind w:left="2120" w:hanging="162"/>
      </w:pPr>
      <w:rPr>
        <w:rFonts w:hint="default"/>
      </w:rPr>
    </w:lvl>
    <w:lvl w:ilvl="6">
      <w:start w:val="0"/>
      <w:numFmt w:val="bullet"/>
      <w:lvlText w:val="•"/>
      <w:lvlJc w:val="left"/>
      <w:pPr>
        <w:ind w:left="2488" w:hanging="162"/>
      </w:pPr>
      <w:rPr>
        <w:rFonts w:hint="default"/>
      </w:rPr>
    </w:lvl>
    <w:lvl w:ilvl="7">
      <w:start w:val="0"/>
      <w:numFmt w:val="bullet"/>
      <w:lvlText w:val="•"/>
      <w:lvlJc w:val="left"/>
      <w:pPr>
        <w:ind w:left="2856" w:hanging="162"/>
      </w:pPr>
      <w:rPr>
        <w:rFonts w:hint="default"/>
      </w:rPr>
    </w:lvl>
    <w:lvl w:ilvl="8">
      <w:start w:val="0"/>
      <w:numFmt w:val="bullet"/>
      <w:lvlText w:val="•"/>
      <w:lvlJc w:val="left"/>
      <w:pPr>
        <w:ind w:left="3224" w:hanging="162"/>
      </w:pPr>
      <w:rPr>
        <w:rFonts w:hint="default"/>
      </w:rPr>
    </w:lvl>
  </w:abstractNum>
  <w:abstractNum w:abstractNumId="18">
    <w:multiLevelType w:val="hybridMultilevel"/>
    <w:lvl w:ilvl="0">
      <w:start w:val="0"/>
      <w:numFmt w:val="bullet"/>
      <w:lvlText w:val=""/>
      <w:lvlJc w:val="left"/>
      <w:pPr>
        <w:ind w:left="283" w:hanging="171"/>
      </w:pPr>
      <w:rPr>
        <w:rFonts w:hint="default" w:ascii="Symbol" w:hAnsi="Symbol" w:eastAsia="Symbol" w:cs="Symbol"/>
        <w:color w:val="231F20"/>
        <w:w w:val="100"/>
        <w:sz w:val="18"/>
        <w:szCs w:val="18"/>
      </w:rPr>
    </w:lvl>
    <w:lvl w:ilvl="1">
      <w:start w:val="0"/>
      <w:numFmt w:val="bullet"/>
      <w:lvlText w:val="•"/>
      <w:lvlJc w:val="left"/>
      <w:pPr>
        <w:ind w:left="648" w:hanging="171"/>
      </w:pPr>
      <w:rPr>
        <w:rFonts w:hint="default"/>
      </w:rPr>
    </w:lvl>
    <w:lvl w:ilvl="2">
      <w:start w:val="0"/>
      <w:numFmt w:val="bullet"/>
      <w:lvlText w:val="•"/>
      <w:lvlJc w:val="left"/>
      <w:pPr>
        <w:ind w:left="1016" w:hanging="171"/>
      </w:pPr>
      <w:rPr>
        <w:rFonts w:hint="default"/>
      </w:rPr>
    </w:lvl>
    <w:lvl w:ilvl="3">
      <w:start w:val="0"/>
      <w:numFmt w:val="bullet"/>
      <w:lvlText w:val="•"/>
      <w:lvlJc w:val="left"/>
      <w:pPr>
        <w:ind w:left="1384" w:hanging="171"/>
      </w:pPr>
      <w:rPr>
        <w:rFonts w:hint="default"/>
      </w:rPr>
    </w:lvl>
    <w:lvl w:ilvl="4">
      <w:start w:val="0"/>
      <w:numFmt w:val="bullet"/>
      <w:lvlText w:val="•"/>
      <w:lvlJc w:val="left"/>
      <w:pPr>
        <w:ind w:left="1752" w:hanging="171"/>
      </w:pPr>
      <w:rPr>
        <w:rFonts w:hint="default"/>
      </w:rPr>
    </w:lvl>
    <w:lvl w:ilvl="5">
      <w:start w:val="0"/>
      <w:numFmt w:val="bullet"/>
      <w:lvlText w:val="•"/>
      <w:lvlJc w:val="left"/>
      <w:pPr>
        <w:ind w:left="2120" w:hanging="171"/>
      </w:pPr>
      <w:rPr>
        <w:rFonts w:hint="default"/>
      </w:rPr>
    </w:lvl>
    <w:lvl w:ilvl="6">
      <w:start w:val="0"/>
      <w:numFmt w:val="bullet"/>
      <w:lvlText w:val="•"/>
      <w:lvlJc w:val="left"/>
      <w:pPr>
        <w:ind w:left="2488" w:hanging="171"/>
      </w:pPr>
      <w:rPr>
        <w:rFonts w:hint="default"/>
      </w:rPr>
    </w:lvl>
    <w:lvl w:ilvl="7">
      <w:start w:val="0"/>
      <w:numFmt w:val="bullet"/>
      <w:lvlText w:val="•"/>
      <w:lvlJc w:val="left"/>
      <w:pPr>
        <w:ind w:left="2856" w:hanging="171"/>
      </w:pPr>
      <w:rPr>
        <w:rFonts w:hint="default"/>
      </w:rPr>
    </w:lvl>
    <w:lvl w:ilvl="8">
      <w:start w:val="0"/>
      <w:numFmt w:val="bullet"/>
      <w:lvlText w:val="•"/>
      <w:lvlJc w:val="left"/>
      <w:pPr>
        <w:ind w:left="3224" w:hanging="171"/>
      </w:pPr>
      <w:rPr>
        <w:rFonts w:hint="default"/>
      </w:rPr>
    </w:lvl>
  </w:abstractNum>
  <w:abstractNum w:abstractNumId="17">
    <w:multiLevelType w:val="hybridMultilevel"/>
    <w:lvl w:ilvl="0">
      <w:start w:val="0"/>
      <w:numFmt w:val="bullet"/>
      <w:lvlText w:val=""/>
      <w:lvlJc w:val="left"/>
      <w:pPr>
        <w:ind w:left="283" w:hanging="171"/>
      </w:pPr>
      <w:rPr>
        <w:rFonts w:hint="default" w:ascii="Symbol" w:hAnsi="Symbol" w:eastAsia="Symbol" w:cs="Symbol"/>
        <w:color w:val="231F20"/>
        <w:w w:val="100"/>
        <w:sz w:val="18"/>
        <w:szCs w:val="18"/>
      </w:rPr>
    </w:lvl>
    <w:lvl w:ilvl="1">
      <w:start w:val="0"/>
      <w:numFmt w:val="bullet"/>
      <w:lvlText w:val="•"/>
      <w:lvlJc w:val="left"/>
      <w:pPr>
        <w:ind w:left="648" w:hanging="171"/>
      </w:pPr>
      <w:rPr>
        <w:rFonts w:hint="default"/>
      </w:rPr>
    </w:lvl>
    <w:lvl w:ilvl="2">
      <w:start w:val="0"/>
      <w:numFmt w:val="bullet"/>
      <w:lvlText w:val="•"/>
      <w:lvlJc w:val="left"/>
      <w:pPr>
        <w:ind w:left="1016" w:hanging="171"/>
      </w:pPr>
      <w:rPr>
        <w:rFonts w:hint="default"/>
      </w:rPr>
    </w:lvl>
    <w:lvl w:ilvl="3">
      <w:start w:val="0"/>
      <w:numFmt w:val="bullet"/>
      <w:lvlText w:val="•"/>
      <w:lvlJc w:val="left"/>
      <w:pPr>
        <w:ind w:left="1384" w:hanging="171"/>
      </w:pPr>
      <w:rPr>
        <w:rFonts w:hint="default"/>
      </w:rPr>
    </w:lvl>
    <w:lvl w:ilvl="4">
      <w:start w:val="0"/>
      <w:numFmt w:val="bullet"/>
      <w:lvlText w:val="•"/>
      <w:lvlJc w:val="left"/>
      <w:pPr>
        <w:ind w:left="1752" w:hanging="171"/>
      </w:pPr>
      <w:rPr>
        <w:rFonts w:hint="default"/>
      </w:rPr>
    </w:lvl>
    <w:lvl w:ilvl="5">
      <w:start w:val="0"/>
      <w:numFmt w:val="bullet"/>
      <w:lvlText w:val="•"/>
      <w:lvlJc w:val="left"/>
      <w:pPr>
        <w:ind w:left="2120" w:hanging="171"/>
      </w:pPr>
      <w:rPr>
        <w:rFonts w:hint="default"/>
      </w:rPr>
    </w:lvl>
    <w:lvl w:ilvl="6">
      <w:start w:val="0"/>
      <w:numFmt w:val="bullet"/>
      <w:lvlText w:val="•"/>
      <w:lvlJc w:val="left"/>
      <w:pPr>
        <w:ind w:left="2488" w:hanging="171"/>
      </w:pPr>
      <w:rPr>
        <w:rFonts w:hint="default"/>
      </w:rPr>
    </w:lvl>
    <w:lvl w:ilvl="7">
      <w:start w:val="0"/>
      <w:numFmt w:val="bullet"/>
      <w:lvlText w:val="•"/>
      <w:lvlJc w:val="left"/>
      <w:pPr>
        <w:ind w:left="2856" w:hanging="171"/>
      </w:pPr>
      <w:rPr>
        <w:rFonts w:hint="default"/>
      </w:rPr>
    </w:lvl>
    <w:lvl w:ilvl="8">
      <w:start w:val="0"/>
      <w:numFmt w:val="bullet"/>
      <w:lvlText w:val="•"/>
      <w:lvlJc w:val="left"/>
      <w:pPr>
        <w:ind w:left="3224" w:hanging="171"/>
      </w:pPr>
      <w:rPr>
        <w:rFonts w:hint="default"/>
      </w:rPr>
    </w:lvl>
  </w:abstractNum>
  <w:abstractNum w:abstractNumId="16">
    <w:multiLevelType w:val="hybridMultilevel"/>
    <w:lvl w:ilvl="0">
      <w:start w:val="0"/>
      <w:numFmt w:val="bullet"/>
      <w:lvlText w:val=""/>
      <w:lvlJc w:val="left"/>
      <w:pPr>
        <w:ind w:left="283" w:hanging="171"/>
      </w:pPr>
      <w:rPr>
        <w:rFonts w:hint="default" w:ascii="Symbol" w:hAnsi="Symbol" w:eastAsia="Symbol" w:cs="Symbol"/>
        <w:color w:val="231F20"/>
        <w:w w:val="100"/>
        <w:sz w:val="18"/>
        <w:szCs w:val="18"/>
      </w:rPr>
    </w:lvl>
    <w:lvl w:ilvl="1">
      <w:start w:val="0"/>
      <w:numFmt w:val="bullet"/>
      <w:lvlText w:val="•"/>
      <w:lvlJc w:val="left"/>
      <w:pPr>
        <w:ind w:left="648" w:hanging="171"/>
      </w:pPr>
      <w:rPr>
        <w:rFonts w:hint="default"/>
      </w:rPr>
    </w:lvl>
    <w:lvl w:ilvl="2">
      <w:start w:val="0"/>
      <w:numFmt w:val="bullet"/>
      <w:lvlText w:val="•"/>
      <w:lvlJc w:val="left"/>
      <w:pPr>
        <w:ind w:left="1016" w:hanging="171"/>
      </w:pPr>
      <w:rPr>
        <w:rFonts w:hint="default"/>
      </w:rPr>
    </w:lvl>
    <w:lvl w:ilvl="3">
      <w:start w:val="0"/>
      <w:numFmt w:val="bullet"/>
      <w:lvlText w:val="•"/>
      <w:lvlJc w:val="left"/>
      <w:pPr>
        <w:ind w:left="1384" w:hanging="171"/>
      </w:pPr>
      <w:rPr>
        <w:rFonts w:hint="default"/>
      </w:rPr>
    </w:lvl>
    <w:lvl w:ilvl="4">
      <w:start w:val="0"/>
      <w:numFmt w:val="bullet"/>
      <w:lvlText w:val="•"/>
      <w:lvlJc w:val="left"/>
      <w:pPr>
        <w:ind w:left="1752" w:hanging="171"/>
      </w:pPr>
      <w:rPr>
        <w:rFonts w:hint="default"/>
      </w:rPr>
    </w:lvl>
    <w:lvl w:ilvl="5">
      <w:start w:val="0"/>
      <w:numFmt w:val="bullet"/>
      <w:lvlText w:val="•"/>
      <w:lvlJc w:val="left"/>
      <w:pPr>
        <w:ind w:left="2120" w:hanging="171"/>
      </w:pPr>
      <w:rPr>
        <w:rFonts w:hint="default"/>
      </w:rPr>
    </w:lvl>
    <w:lvl w:ilvl="6">
      <w:start w:val="0"/>
      <w:numFmt w:val="bullet"/>
      <w:lvlText w:val="•"/>
      <w:lvlJc w:val="left"/>
      <w:pPr>
        <w:ind w:left="2488" w:hanging="171"/>
      </w:pPr>
      <w:rPr>
        <w:rFonts w:hint="default"/>
      </w:rPr>
    </w:lvl>
    <w:lvl w:ilvl="7">
      <w:start w:val="0"/>
      <w:numFmt w:val="bullet"/>
      <w:lvlText w:val="•"/>
      <w:lvlJc w:val="left"/>
      <w:pPr>
        <w:ind w:left="2856" w:hanging="171"/>
      </w:pPr>
      <w:rPr>
        <w:rFonts w:hint="default"/>
      </w:rPr>
    </w:lvl>
    <w:lvl w:ilvl="8">
      <w:start w:val="0"/>
      <w:numFmt w:val="bullet"/>
      <w:lvlText w:val="•"/>
      <w:lvlJc w:val="left"/>
      <w:pPr>
        <w:ind w:left="3224" w:hanging="171"/>
      </w:pPr>
      <w:rPr>
        <w:rFonts w:hint="default"/>
      </w:rPr>
    </w:lvl>
  </w:abstractNum>
  <w:abstractNum w:abstractNumId="15">
    <w:multiLevelType w:val="hybridMultilevel"/>
    <w:lvl w:ilvl="0">
      <w:start w:val="0"/>
      <w:numFmt w:val="bullet"/>
      <w:lvlText w:val=""/>
      <w:lvlJc w:val="left"/>
      <w:pPr>
        <w:ind w:left="283" w:hanging="171"/>
      </w:pPr>
      <w:rPr>
        <w:rFonts w:hint="default" w:ascii="Symbol" w:hAnsi="Symbol" w:eastAsia="Symbol" w:cs="Symbol"/>
        <w:color w:val="231F20"/>
        <w:w w:val="100"/>
        <w:sz w:val="18"/>
        <w:szCs w:val="18"/>
      </w:rPr>
    </w:lvl>
    <w:lvl w:ilvl="1">
      <w:start w:val="0"/>
      <w:numFmt w:val="bullet"/>
      <w:lvlText w:val="•"/>
      <w:lvlJc w:val="left"/>
      <w:pPr>
        <w:ind w:left="648" w:hanging="171"/>
      </w:pPr>
      <w:rPr>
        <w:rFonts w:hint="default"/>
      </w:rPr>
    </w:lvl>
    <w:lvl w:ilvl="2">
      <w:start w:val="0"/>
      <w:numFmt w:val="bullet"/>
      <w:lvlText w:val="•"/>
      <w:lvlJc w:val="left"/>
      <w:pPr>
        <w:ind w:left="1016" w:hanging="171"/>
      </w:pPr>
      <w:rPr>
        <w:rFonts w:hint="default"/>
      </w:rPr>
    </w:lvl>
    <w:lvl w:ilvl="3">
      <w:start w:val="0"/>
      <w:numFmt w:val="bullet"/>
      <w:lvlText w:val="•"/>
      <w:lvlJc w:val="left"/>
      <w:pPr>
        <w:ind w:left="1384" w:hanging="171"/>
      </w:pPr>
      <w:rPr>
        <w:rFonts w:hint="default"/>
      </w:rPr>
    </w:lvl>
    <w:lvl w:ilvl="4">
      <w:start w:val="0"/>
      <w:numFmt w:val="bullet"/>
      <w:lvlText w:val="•"/>
      <w:lvlJc w:val="left"/>
      <w:pPr>
        <w:ind w:left="1752" w:hanging="171"/>
      </w:pPr>
      <w:rPr>
        <w:rFonts w:hint="default"/>
      </w:rPr>
    </w:lvl>
    <w:lvl w:ilvl="5">
      <w:start w:val="0"/>
      <w:numFmt w:val="bullet"/>
      <w:lvlText w:val="•"/>
      <w:lvlJc w:val="left"/>
      <w:pPr>
        <w:ind w:left="2120" w:hanging="171"/>
      </w:pPr>
      <w:rPr>
        <w:rFonts w:hint="default"/>
      </w:rPr>
    </w:lvl>
    <w:lvl w:ilvl="6">
      <w:start w:val="0"/>
      <w:numFmt w:val="bullet"/>
      <w:lvlText w:val="•"/>
      <w:lvlJc w:val="left"/>
      <w:pPr>
        <w:ind w:left="2488" w:hanging="171"/>
      </w:pPr>
      <w:rPr>
        <w:rFonts w:hint="default"/>
      </w:rPr>
    </w:lvl>
    <w:lvl w:ilvl="7">
      <w:start w:val="0"/>
      <w:numFmt w:val="bullet"/>
      <w:lvlText w:val="•"/>
      <w:lvlJc w:val="left"/>
      <w:pPr>
        <w:ind w:left="2856" w:hanging="171"/>
      </w:pPr>
      <w:rPr>
        <w:rFonts w:hint="default"/>
      </w:rPr>
    </w:lvl>
    <w:lvl w:ilvl="8">
      <w:start w:val="0"/>
      <w:numFmt w:val="bullet"/>
      <w:lvlText w:val="•"/>
      <w:lvlJc w:val="left"/>
      <w:pPr>
        <w:ind w:left="3224" w:hanging="171"/>
      </w:pPr>
      <w:rPr>
        <w:rFonts w:hint="default"/>
      </w:rPr>
    </w:lvl>
  </w:abstractNum>
  <w:abstractNum w:abstractNumId="14">
    <w:multiLevelType w:val="hybridMultilevel"/>
    <w:lvl w:ilvl="0">
      <w:start w:val="0"/>
      <w:numFmt w:val="bullet"/>
      <w:lvlText w:val=""/>
      <w:lvlJc w:val="left"/>
      <w:pPr>
        <w:ind w:left="283" w:hanging="171"/>
      </w:pPr>
      <w:rPr>
        <w:rFonts w:hint="default" w:ascii="Symbol" w:hAnsi="Symbol" w:eastAsia="Symbol" w:cs="Symbol"/>
        <w:color w:val="231F20"/>
        <w:w w:val="100"/>
        <w:sz w:val="18"/>
        <w:szCs w:val="18"/>
      </w:rPr>
    </w:lvl>
    <w:lvl w:ilvl="1">
      <w:start w:val="0"/>
      <w:numFmt w:val="bullet"/>
      <w:lvlText w:val="•"/>
      <w:lvlJc w:val="left"/>
      <w:pPr>
        <w:ind w:left="648" w:hanging="171"/>
      </w:pPr>
      <w:rPr>
        <w:rFonts w:hint="default"/>
      </w:rPr>
    </w:lvl>
    <w:lvl w:ilvl="2">
      <w:start w:val="0"/>
      <w:numFmt w:val="bullet"/>
      <w:lvlText w:val="•"/>
      <w:lvlJc w:val="left"/>
      <w:pPr>
        <w:ind w:left="1016" w:hanging="171"/>
      </w:pPr>
      <w:rPr>
        <w:rFonts w:hint="default"/>
      </w:rPr>
    </w:lvl>
    <w:lvl w:ilvl="3">
      <w:start w:val="0"/>
      <w:numFmt w:val="bullet"/>
      <w:lvlText w:val="•"/>
      <w:lvlJc w:val="left"/>
      <w:pPr>
        <w:ind w:left="1384" w:hanging="171"/>
      </w:pPr>
      <w:rPr>
        <w:rFonts w:hint="default"/>
      </w:rPr>
    </w:lvl>
    <w:lvl w:ilvl="4">
      <w:start w:val="0"/>
      <w:numFmt w:val="bullet"/>
      <w:lvlText w:val="•"/>
      <w:lvlJc w:val="left"/>
      <w:pPr>
        <w:ind w:left="1752" w:hanging="171"/>
      </w:pPr>
      <w:rPr>
        <w:rFonts w:hint="default"/>
      </w:rPr>
    </w:lvl>
    <w:lvl w:ilvl="5">
      <w:start w:val="0"/>
      <w:numFmt w:val="bullet"/>
      <w:lvlText w:val="•"/>
      <w:lvlJc w:val="left"/>
      <w:pPr>
        <w:ind w:left="2120" w:hanging="171"/>
      </w:pPr>
      <w:rPr>
        <w:rFonts w:hint="default"/>
      </w:rPr>
    </w:lvl>
    <w:lvl w:ilvl="6">
      <w:start w:val="0"/>
      <w:numFmt w:val="bullet"/>
      <w:lvlText w:val="•"/>
      <w:lvlJc w:val="left"/>
      <w:pPr>
        <w:ind w:left="2488" w:hanging="171"/>
      </w:pPr>
      <w:rPr>
        <w:rFonts w:hint="default"/>
      </w:rPr>
    </w:lvl>
    <w:lvl w:ilvl="7">
      <w:start w:val="0"/>
      <w:numFmt w:val="bullet"/>
      <w:lvlText w:val="•"/>
      <w:lvlJc w:val="left"/>
      <w:pPr>
        <w:ind w:left="2856" w:hanging="171"/>
      </w:pPr>
      <w:rPr>
        <w:rFonts w:hint="default"/>
      </w:rPr>
    </w:lvl>
    <w:lvl w:ilvl="8">
      <w:start w:val="0"/>
      <w:numFmt w:val="bullet"/>
      <w:lvlText w:val="•"/>
      <w:lvlJc w:val="left"/>
      <w:pPr>
        <w:ind w:left="3224" w:hanging="171"/>
      </w:pPr>
      <w:rPr>
        <w:rFonts w:hint="default"/>
      </w:rPr>
    </w:lvl>
  </w:abstractNum>
  <w:abstractNum w:abstractNumId="13">
    <w:multiLevelType w:val="hybridMultilevel"/>
    <w:lvl w:ilvl="0">
      <w:start w:val="1"/>
      <w:numFmt w:val="decimal"/>
      <w:lvlText w:val="%1."/>
      <w:lvlJc w:val="left"/>
      <w:pPr>
        <w:ind w:left="269" w:hanging="162"/>
        <w:jc w:val="left"/>
      </w:pPr>
      <w:rPr>
        <w:rFonts w:hint="default" w:ascii="Arial Narrow" w:hAnsi="Arial Narrow" w:eastAsia="Arial Narrow" w:cs="Arial Narrow"/>
        <w:color w:val="231F20"/>
        <w:spacing w:val="-1"/>
        <w:w w:val="100"/>
        <w:sz w:val="18"/>
        <w:szCs w:val="18"/>
      </w:rPr>
    </w:lvl>
    <w:lvl w:ilvl="1">
      <w:start w:val="0"/>
      <w:numFmt w:val="bullet"/>
      <w:lvlText w:val="•"/>
      <w:lvlJc w:val="left"/>
      <w:pPr>
        <w:ind w:left="630" w:hanging="162"/>
      </w:pPr>
      <w:rPr>
        <w:rFonts w:hint="default"/>
      </w:rPr>
    </w:lvl>
    <w:lvl w:ilvl="2">
      <w:start w:val="0"/>
      <w:numFmt w:val="bullet"/>
      <w:lvlText w:val="•"/>
      <w:lvlJc w:val="left"/>
      <w:pPr>
        <w:ind w:left="1000" w:hanging="162"/>
      </w:pPr>
      <w:rPr>
        <w:rFonts w:hint="default"/>
      </w:rPr>
    </w:lvl>
    <w:lvl w:ilvl="3">
      <w:start w:val="0"/>
      <w:numFmt w:val="bullet"/>
      <w:lvlText w:val="•"/>
      <w:lvlJc w:val="left"/>
      <w:pPr>
        <w:ind w:left="1370" w:hanging="162"/>
      </w:pPr>
      <w:rPr>
        <w:rFonts w:hint="default"/>
      </w:rPr>
    </w:lvl>
    <w:lvl w:ilvl="4">
      <w:start w:val="0"/>
      <w:numFmt w:val="bullet"/>
      <w:lvlText w:val="•"/>
      <w:lvlJc w:val="left"/>
      <w:pPr>
        <w:ind w:left="1740" w:hanging="162"/>
      </w:pPr>
      <w:rPr>
        <w:rFonts w:hint="default"/>
      </w:rPr>
    </w:lvl>
    <w:lvl w:ilvl="5">
      <w:start w:val="0"/>
      <w:numFmt w:val="bullet"/>
      <w:lvlText w:val="•"/>
      <w:lvlJc w:val="left"/>
      <w:pPr>
        <w:ind w:left="2110" w:hanging="162"/>
      </w:pPr>
      <w:rPr>
        <w:rFonts w:hint="default"/>
      </w:rPr>
    </w:lvl>
    <w:lvl w:ilvl="6">
      <w:start w:val="0"/>
      <w:numFmt w:val="bullet"/>
      <w:lvlText w:val="•"/>
      <w:lvlJc w:val="left"/>
      <w:pPr>
        <w:ind w:left="2480" w:hanging="162"/>
      </w:pPr>
      <w:rPr>
        <w:rFonts w:hint="default"/>
      </w:rPr>
    </w:lvl>
    <w:lvl w:ilvl="7">
      <w:start w:val="0"/>
      <w:numFmt w:val="bullet"/>
      <w:lvlText w:val="•"/>
      <w:lvlJc w:val="left"/>
      <w:pPr>
        <w:ind w:left="2850" w:hanging="162"/>
      </w:pPr>
      <w:rPr>
        <w:rFonts w:hint="default"/>
      </w:rPr>
    </w:lvl>
    <w:lvl w:ilvl="8">
      <w:start w:val="0"/>
      <w:numFmt w:val="bullet"/>
      <w:lvlText w:val="•"/>
      <w:lvlJc w:val="left"/>
      <w:pPr>
        <w:ind w:left="3220" w:hanging="162"/>
      </w:pPr>
      <w:rPr>
        <w:rFonts w:hint="default"/>
      </w:rPr>
    </w:lvl>
  </w:abstractNum>
  <w:abstractNum w:abstractNumId="12">
    <w:multiLevelType w:val="hybridMultilevel"/>
    <w:lvl w:ilvl="0">
      <w:start w:val="0"/>
      <w:numFmt w:val="bullet"/>
      <w:lvlText w:val="•"/>
      <w:lvlJc w:val="left"/>
      <w:pPr>
        <w:ind w:left="283" w:hanging="171"/>
      </w:pPr>
      <w:rPr>
        <w:rFonts w:hint="default" w:ascii="Arial Narrow" w:hAnsi="Arial Narrow" w:eastAsia="Arial Narrow" w:cs="Arial Narrow"/>
        <w:b/>
        <w:bCs/>
        <w:color w:val="231F20"/>
        <w:spacing w:val="-5"/>
        <w:w w:val="100"/>
        <w:sz w:val="18"/>
        <w:szCs w:val="18"/>
      </w:rPr>
    </w:lvl>
    <w:lvl w:ilvl="1">
      <w:start w:val="0"/>
      <w:numFmt w:val="bullet"/>
      <w:lvlText w:val="•"/>
      <w:lvlJc w:val="left"/>
      <w:pPr>
        <w:ind w:left="676" w:hanging="171"/>
      </w:pPr>
      <w:rPr>
        <w:rFonts w:hint="default"/>
      </w:rPr>
    </w:lvl>
    <w:lvl w:ilvl="2">
      <w:start w:val="0"/>
      <w:numFmt w:val="bullet"/>
      <w:lvlText w:val="•"/>
      <w:lvlJc w:val="left"/>
      <w:pPr>
        <w:ind w:left="1073" w:hanging="171"/>
      </w:pPr>
      <w:rPr>
        <w:rFonts w:hint="default"/>
      </w:rPr>
    </w:lvl>
    <w:lvl w:ilvl="3">
      <w:start w:val="0"/>
      <w:numFmt w:val="bullet"/>
      <w:lvlText w:val="•"/>
      <w:lvlJc w:val="left"/>
      <w:pPr>
        <w:ind w:left="1470" w:hanging="171"/>
      </w:pPr>
      <w:rPr>
        <w:rFonts w:hint="default"/>
      </w:rPr>
    </w:lvl>
    <w:lvl w:ilvl="4">
      <w:start w:val="0"/>
      <w:numFmt w:val="bullet"/>
      <w:lvlText w:val="•"/>
      <w:lvlJc w:val="left"/>
      <w:pPr>
        <w:ind w:left="1866" w:hanging="171"/>
      </w:pPr>
      <w:rPr>
        <w:rFonts w:hint="default"/>
      </w:rPr>
    </w:lvl>
    <w:lvl w:ilvl="5">
      <w:start w:val="0"/>
      <w:numFmt w:val="bullet"/>
      <w:lvlText w:val="•"/>
      <w:lvlJc w:val="left"/>
      <w:pPr>
        <w:ind w:left="2263" w:hanging="171"/>
      </w:pPr>
      <w:rPr>
        <w:rFonts w:hint="default"/>
      </w:rPr>
    </w:lvl>
    <w:lvl w:ilvl="6">
      <w:start w:val="0"/>
      <w:numFmt w:val="bullet"/>
      <w:lvlText w:val="•"/>
      <w:lvlJc w:val="left"/>
      <w:pPr>
        <w:ind w:left="2660" w:hanging="171"/>
      </w:pPr>
      <w:rPr>
        <w:rFonts w:hint="default"/>
      </w:rPr>
    </w:lvl>
    <w:lvl w:ilvl="7">
      <w:start w:val="0"/>
      <w:numFmt w:val="bullet"/>
      <w:lvlText w:val="•"/>
      <w:lvlJc w:val="left"/>
      <w:pPr>
        <w:ind w:left="3056" w:hanging="171"/>
      </w:pPr>
      <w:rPr>
        <w:rFonts w:hint="default"/>
      </w:rPr>
    </w:lvl>
    <w:lvl w:ilvl="8">
      <w:start w:val="0"/>
      <w:numFmt w:val="bullet"/>
      <w:lvlText w:val="•"/>
      <w:lvlJc w:val="left"/>
      <w:pPr>
        <w:ind w:left="3453" w:hanging="171"/>
      </w:pPr>
      <w:rPr>
        <w:rFonts w:hint="default"/>
      </w:rPr>
    </w:lvl>
  </w:abstractNum>
  <w:abstractNum w:abstractNumId="11">
    <w:multiLevelType w:val="hybridMultilevel"/>
    <w:lvl w:ilvl="0">
      <w:start w:val="0"/>
      <w:numFmt w:val="bullet"/>
      <w:lvlText w:val="•"/>
      <w:lvlJc w:val="left"/>
      <w:pPr>
        <w:ind w:left="283" w:hanging="171"/>
      </w:pPr>
      <w:rPr>
        <w:rFonts w:hint="default" w:ascii="Arial Narrow" w:hAnsi="Arial Narrow" w:eastAsia="Arial Narrow" w:cs="Arial Narrow"/>
        <w:b/>
        <w:bCs/>
        <w:color w:val="231F20"/>
        <w:spacing w:val="-5"/>
        <w:w w:val="100"/>
        <w:sz w:val="18"/>
        <w:szCs w:val="18"/>
      </w:rPr>
    </w:lvl>
    <w:lvl w:ilvl="1">
      <w:start w:val="0"/>
      <w:numFmt w:val="bullet"/>
      <w:lvlText w:val="•"/>
      <w:lvlJc w:val="left"/>
      <w:pPr>
        <w:ind w:left="676" w:hanging="171"/>
      </w:pPr>
      <w:rPr>
        <w:rFonts w:hint="default"/>
      </w:rPr>
    </w:lvl>
    <w:lvl w:ilvl="2">
      <w:start w:val="0"/>
      <w:numFmt w:val="bullet"/>
      <w:lvlText w:val="•"/>
      <w:lvlJc w:val="left"/>
      <w:pPr>
        <w:ind w:left="1073" w:hanging="171"/>
      </w:pPr>
      <w:rPr>
        <w:rFonts w:hint="default"/>
      </w:rPr>
    </w:lvl>
    <w:lvl w:ilvl="3">
      <w:start w:val="0"/>
      <w:numFmt w:val="bullet"/>
      <w:lvlText w:val="•"/>
      <w:lvlJc w:val="left"/>
      <w:pPr>
        <w:ind w:left="1470" w:hanging="171"/>
      </w:pPr>
      <w:rPr>
        <w:rFonts w:hint="default"/>
      </w:rPr>
    </w:lvl>
    <w:lvl w:ilvl="4">
      <w:start w:val="0"/>
      <w:numFmt w:val="bullet"/>
      <w:lvlText w:val="•"/>
      <w:lvlJc w:val="left"/>
      <w:pPr>
        <w:ind w:left="1866" w:hanging="171"/>
      </w:pPr>
      <w:rPr>
        <w:rFonts w:hint="default"/>
      </w:rPr>
    </w:lvl>
    <w:lvl w:ilvl="5">
      <w:start w:val="0"/>
      <w:numFmt w:val="bullet"/>
      <w:lvlText w:val="•"/>
      <w:lvlJc w:val="left"/>
      <w:pPr>
        <w:ind w:left="2263" w:hanging="171"/>
      </w:pPr>
      <w:rPr>
        <w:rFonts w:hint="default"/>
      </w:rPr>
    </w:lvl>
    <w:lvl w:ilvl="6">
      <w:start w:val="0"/>
      <w:numFmt w:val="bullet"/>
      <w:lvlText w:val="•"/>
      <w:lvlJc w:val="left"/>
      <w:pPr>
        <w:ind w:left="2660" w:hanging="171"/>
      </w:pPr>
      <w:rPr>
        <w:rFonts w:hint="default"/>
      </w:rPr>
    </w:lvl>
    <w:lvl w:ilvl="7">
      <w:start w:val="0"/>
      <w:numFmt w:val="bullet"/>
      <w:lvlText w:val="•"/>
      <w:lvlJc w:val="left"/>
      <w:pPr>
        <w:ind w:left="3056" w:hanging="171"/>
      </w:pPr>
      <w:rPr>
        <w:rFonts w:hint="default"/>
      </w:rPr>
    </w:lvl>
    <w:lvl w:ilvl="8">
      <w:start w:val="0"/>
      <w:numFmt w:val="bullet"/>
      <w:lvlText w:val="•"/>
      <w:lvlJc w:val="left"/>
      <w:pPr>
        <w:ind w:left="3453" w:hanging="171"/>
      </w:pPr>
      <w:rPr>
        <w:rFonts w:hint="default"/>
      </w:rPr>
    </w:lvl>
  </w:abstractNum>
  <w:abstractNum w:abstractNumId="10">
    <w:multiLevelType w:val="hybridMultilevel"/>
    <w:lvl w:ilvl="0">
      <w:start w:val="0"/>
      <w:numFmt w:val="bullet"/>
      <w:lvlText w:val="•"/>
      <w:lvlJc w:val="left"/>
      <w:pPr>
        <w:ind w:left="283" w:hanging="171"/>
      </w:pPr>
      <w:rPr>
        <w:rFonts w:hint="default" w:ascii="Arial Narrow" w:hAnsi="Arial Narrow" w:eastAsia="Arial Narrow" w:cs="Arial Narrow"/>
        <w:b/>
        <w:bCs/>
        <w:color w:val="231F20"/>
        <w:spacing w:val="-5"/>
        <w:w w:val="100"/>
        <w:sz w:val="18"/>
        <w:szCs w:val="18"/>
      </w:rPr>
    </w:lvl>
    <w:lvl w:ilvl="1">
      <w:start w:val="0"/>
      <w:numFmt w:val="bullet"/>
      <w:lvlText w:val="•"/>
      <w:lvlJc w:val="left"/>
      <w:pPr>
        <w:ind w:left="676" w:hanging="171"/>
      </w:pPr>
      <w:rPr>
        <w:rFonts w:hint="default"/>
      </w:rPr>
    </w:lvl>
    <w:lvl w:ilvl="2">
      <w:start w:val="0"/>
      <w:numFmt w:val="bullet"/>
      <w:lvlText w:val="•"/>
      <w:lvlJc w:val="left"/>
      <w:pPr>
        <w:ind w:left="1073" w:hanging="171"/>
      </w:pPr>
      <w:rPr>
        <w:rFonts w:hint="default"/>
      </w:rPr>
    </w:lvl>
    <w:lvl w:ilvl="3">
      <w:start w:val="0"/>
      <w:numFmt w:val="bullet"/>
      <w:lvlText w:val="•"/>
      <w:lvlJc w:val="left"/>
      <w:pPr>
        <w:ind w:left="1470" w:hanging="171"/>
      </w:pPr>
      <w:rPr>
        <w:rFonts w:hint="default"/>
      </w:rPr>
    </w:lvl>
    <w:lvl w:ilvl="4">
      <w:start w:val="0"/>
      <w:numFmt w:val="bullet"/>
      <w:lvlText w:val="•"/>
      <w:lvlJc w:val="left"/>
      <w:pPr>
        <w:ind w:left="1866" w:hanging="171"/>
      </w:pPr>
      <w:rPr>
        <w:rFonts w:hint="default"/>
      </w:rPr>
    </w:lvl>
    <w:lvl w:ilvl="5">
      <w:start w:val="0"/>
      <w:numFmt w:val="bullet"/>
      <w:lvlText w:val="•"/>
      <w:lvlJc w:val="left"/>
      <w:pPr>
        <w:ind w:left="2263" w:hanging="171"/>
      </w:pPr>
      <w:rPr>
        <w:rFonts w:hint="default"/>
      </w:rPr>
    </w:lvl>
    <w:lvl w:ilvl="6">
      <w:start w:val="0"/>
      <w:numFmt w:val="bullet"/>
      <w:lvlText w:val="•"/>
      <w:lvlJc w:val="left"/>
      <w:pPr>
        <w:ind w:left="2660" w:hanging="171"/>
      </w:pPr>
      <w:rPr>
        <w:rFonts w:hint="default"/>
      </w:rPr>
    </w:lvl>
    <w:lvl w:ilvl="7">
      <w:start w:val="0"/>
      <w:numFmt w:val="bullet"/>
      <w:lvlText w:val="•"/>
      <w:lvlJc w:val="left"/>
      <w:pPr>
        <w:ind w:left="3056" w:hanging="171"/>
      </w:pPr>
      <w:rPr>
        <w:rFonts w:hint="default"/>
      </w:rPr>
    </w:lvl>
    <w:lvl w:ilvl="8">
      <w:start w:val="0"/>
      <w:numFmt w:val="bullet"/>
      <w:lvlText w:val="•"/>
      <w:lvlJc w:val="left"/>
      <w:pPr>
        <w:ind w:left="3453" w:hanging="171"/>
      </w:pPr>
      <w:rPr>
        <w:rFonts w:hint="default"/>
      </w:rPr>
    </w:lvl>
  </w:abstractNum>
  <w:abstractNum w:abstractNumId="9">
    <w:multiLevelType w:val="hybridMultilevel"/>
    <w:lvl w:ilvl="0">
      <w:start w:val="0"/>
      <w:numFmt w:val="bullet"/>
      <w:lvlText w:val="•"/>
      <w:lvlJc w:val="left"/>
      <w:pPr>
        <w:ind w:left="283" w:hanging="171"/>
      </w:pPr>
      <w:rPr>
        <w:rFonts w:hint="default" w:ascii="Arial Narrow" w:hAnsi="Arial Narrow" w:eastAsia="Arial Narrow" w:cs="Arial Narrow"/>
        <w:b/>
        <w:bCs/>
        <w:color w:val="231F20"/>
        <w:spacing w:val="-11"/>
        <w:w w:val="100"/>
        <w:sz w:val="18"/>
        <w:szCs w:val="18"/>
      </w:rPr>
    </w:lvl>
    <w:lvl w:ilvl="1">
      <w:start w:val="0"/>
      <w:numFmt w:val="bullet"/>
      <w:lvlText w:val="•"/>
      <w:lvlJc w:val="left"/>
      <w:pPr>
        <w:ind w:left="676" w:hanging="171"/>
      </w:pPr>
      <w:rPr>
        <w:rFonts w:hint="default"/>
      </w:rPr>
    </w:lvl>
    <w:lvl w:ilvl="2">
      <w:start w:val="0"/>
      <w:numFmt w:val="bullet"/>
      <w:lvlText w:val="•"/>
      <w:lvlJc w:val="left"/>
      <w:pPr>
        <w:ind w:left="1073" w:hanging="171"/>
      </w:pPr>
      <w:rPr>
        <w:rFonts w:hint="default"/>
      </w:rPr>
    </w:lvl>
    <w:lvl w:ilvl="3">
      <w:start w:val="0"/>
      <w:numFmt w:val="bullet"/>
      <w:lvlText w:val="•"/>
      <w:lvlJc w:val="left"/>
      <w:pPr>
        <w:ind w:left="1470" w:hanging="171"/>
      </w:pPr>
      <w:rPr>
        <w:rFonts w:hint="default"/>
      </w:rPr>
    </w:lvl>
    <w:lvl w:ilvl="4">
      <w:start w:val="0"/>
      <w:numFmt w:val="bullet"/>
      <w:lvlText w:val="•"/>
      <w:lvlJc w:val="left"/>
      <w:pPr>
        <w:ind w:left="1866" w:hanging="171"/>
      </w:pPr>
      <w:rPr>
        <w:rFonts w:hint="default"/>
      </w:rPr>
    </w:lvl>
    <w:lvl w:ilvl="5">
      <w:start w:val="0"/>
      <w:numFmt w:val="bullet"/>
      <w:lvlText w:val="•"/>
      <w:lvlJc w:val="left"/>
      <w:pPr>
        <w:ind w:left="2263" w:hanging="171"/>
      </w:pPr>
      <w:rPr>
        <w:rFonts w:hint="default"/>
      </w:rPr>
    </w:lvl>
    <w:lvl w:ilvl="6">
      <w:start w:val="0"/>
      <w:numFmt w:val="bullet"/>
      <w:lvlText w:val="•"/>
      <w:lvlJc w:val="left"/>
      <w:pPr>
        <w:ind w:left="2660" w:hanging="171"/>
      </w:pPr>
      <w:rPr>
        <w:rFonts w:hint="default"/>
      </w:rPr>
    </w:lvl>
    <w:lvl w:ilvl="7">
      <w:start w:val="0"/>
      <w:numFmt w:val="bullet"/>
      <w:lvlText w:val="•"/>
      <w:lvlJc w:val="left"/>
      <w:pPr>
        <w:ind w:left="3056" w:hanging="171"/>
      </w:pPr>
      <w:rPr>
        <w:rFonts w:hint="default"/>
      </w:rPr>
    </w:lvl>
    <w:lvl w:ilvl="8">
      <w:start w:val="0"/>
      <w:numFmt w:val="bullet"/>
      <w:lvlText w:val="•"/>
      <w:lvlJc w:val="left"/>
      <w:pPr>
        <w:ind w:left="3453" w:hanging="171"/>
      </w:pPr>
      <w:rPr>
        <w:rFonts w:hint="default"/>
      </w:rPr>
    </w:lvl>
  </w:abstractNum>
  <w:abstractNum w:abstractNumId="8">
    <w:multiLevelType w:val="hybridMultilevel"/>
    <w:lvl w:ilvl="0">
      <w:start w:val="1"/>
      <w:numFmt w:val="decimal"/>
      <w:lvlText w:val="%1."/>
      <w:lvlJc w:val="left"/>
      <w:pPr>
        <w:ind w:left="283" w:hanging="171"/>
        <w:jc w:val="left"/>
      </w:pPr>
      <w:rPr>
        <w:rFonts w:hint="default" w:ascii="Arial Narrow" w:hAnsi="Arial Narrow" w:eastAsia="Arial Narrow" w:cs="Arial Narrow"/>
        <w:color w:val="231F20"/>
        <w:spacing w:val="-1"/>
        <w:w w:val="100"/>
        <w:sz w:val="18"/>
        <w:szCs w:val="18"/>
      </w:rPr>
    </w:lvl>
    <w:lvl w:ilvl="1">
      <w:start w:val="0"/>
      <w:numFmt w:val="bullet"/>
      <w:lvlText w:val="·"/>
      <w:lvlJc w:val="left"/>
      <w:pPr>
        <w:ind w:left="397" w:hanging="114"/>
      </w:pPr>
      <w:rPr>
        <w:rFonts w:hint="default" w:ascii="Arial" w:hAnsi="Arial" w:eastAsia="Arial" w:cs="Arial"/>
        <w:color w:val="231F20"/>
        <w:w w:val="93"/>
        <w:sz w:val="18"/>
        <w:szCs w:val="18"/>
      </w:rPr>
    </w:lvl>
    <w:lvl w:ilvl="2">
      <w:start w:val="0"/>
      <w:numFmt w:val="bullet"/>
      <w:lvlText w:val="•"/>
      <w:lvlJc w:val="left"/>
      <w:pPr>
        <w:ind w:left="827" w:hanging="114"/>
      </w:pPr>
      <w:rPr>
        <w:rFonts w:hint="default"/>
      </w:rPr>
    </w:lvl>
    <w:lvl w:ilvl="3">
      <w:start w:val="0"/>
      <w:numFmt w:val="bullet"/>
      <w:lvlText w:val="•"/>
      <w:lvlJc w:val="left"/>
      <w:pPr>
        <w:ind w:left="1254" w:hanging="114"/>
      </w:pPr>
      <w:rPr>
        <w:rFonts w:hint="default"/>
      </w:rPr>
    </w:lvl>
    <w:lvl w:ilvl="4">
      <w:start w:val="0"/>
      <w:numFmt w:val="bullet"/>
      <w:lvlText w:val="•"/>
      <w:lvlJc w:val="left"/>
      <w:pPr>
        <w:ind w:left="1682" w:hanging="114"/>
      </w:pPr>
      <w:rPr>
        <w:rFonts w:hint="default"/>
      </w:rPr>
    </w:lvl>
    <w:lvl w:ilvl="5">
      <w:start w:val="0"/>
      <w:numFmt w:val="bullet"/>
      <w:lvlText w:val="•"/>
      <w:lvlJc w:val="left"/>
      <w:pPr>
        <w:ind w:left="2109" w:hanging="114"/>
      </w:pPr>
      <w:rPr>
        <w:rFonts w:hint="default"/>
      </w:rPr>
    </w:lvl>
    <w:lvl w:ilvl="6">
      <w:start w:val="0"/>
      <w:numFmt w:val="bullet"/>
      <w:lvlText w:val="•"/>
      <w:lvlJc w:val="left"/>
      <w:pPr>
        <w:ind w:left="2537" w:hanging="114"/>
      </w:pPr>
      <w:rPr>
        <w:rFonts w:hint="default"/>
      </w:rPr>
    </w:lvl>
    <w:lvl w:ilvl="7">
      <w:start w:val="0"/>
      <w:numFmt w:val="bullet"/>
      <w:lvlText w:val="•"/>
      <w:lvlJc w:val="left"/>
      <w:pPr>
        <w:ind w:left="2964" w:hanging="114"/>
      </w:pPr>
      <w:rPr>
        <w:rFonts w:hint="default"/>
      </w:rPr>
    </w:lvl>
    <w:lvl w:ilvl="8">
      <w:start w:val="0"/>
      <w:numFmt w:val="bullet"/>
      <w:lvlText w:val="•"/>
      <w:lvlJc w:val="left"/>
      <w:pPr>
        <w:ind w:left="3392" w:hanging="114"/>
      </w:pPr>
      <w:rPr>
        <w:rFonts w:hint="default"/>
      </w:rPr>
    </w:lvl>
  </w:abstractNum>
  <w:abstractNum w:abstractNumId="7">
    <w:multiLevelType w:val="hybridMultilevel"/>
    <w:lvl w:ilvl="0">
      <w:start w:val="1"/>
      <w:numFmt w:val="decimal"/>
      <w:lvlText w:val="%1."/>
      <w:lvlJc w:val="left"/>
      <w:pPr>
        <w:ind w:left="673" w:hanging="284"/>
        <w:jc w:val="left"/>
      </w:pPr>
      <w:rPr>
        <w:rFonts w:hint="default" w:ascii="Arial Narrow" w:hAnsi="Arial Narrow" w:eastAsia="Arial Narrow" w:cs="Arial Narrow"/>
        <w:color w:val="231F20"/>
        <w:spacing w:val="-8"/>
        <w:w w:val="100"/>
        <w:sz w:val="18"/>
        <w:szCs w:val="18"/>
      </w:rPr>
    </w:lvl>
    <w:lvl w:ilvl="1">
      <w:start w:val="1"/>
      <w:numFmt w:val="lowerLetter"/>
      <w:lvlText w:val="%2."/>
      <w:lvlJc w:val="left"/>
      <w:pPr>
        <w:ind w:left="673" w:hanging="284"/>
        <w:jc w:val="left"/>
      </w:pPr>
      <w:rPr>
        <w:rFonts w:hint="default" w:ascii="Arial Narrow" w:hAnsi="Arial Narrow" w:eastAsia="Arial Narrow" w:cs="Arial Narrow"/>
        <w:b/>
        <w:bCs/>
        <w:color w:val="231F20"/>
        <w:spacing w:val="0"/>
        <w:w w:val="100"/>
        <w:sz w:val="20"/>
        <w:szCs w:val="20"/>
      </w:rPr>
    </w:lvl>
    <w:lvl w:ilvl="2">
      <w:start w:val="0"/>
      <w:numFmt w:val="bullet"/>
      <w:lvlText w:val="•"/>
      <w:lvlJc w:val="left"/>
      <w:pPr>
        <w:ind w:left="2413" w:hanging="284"/>
      </w:pPr>
      <w:rPr>
        <w:rFonts w:hint="default"/>
      </w:rPr>
    </w:lvl>
    <w:lvl w:ilvl="3">
      <w:start w:val="0"/>
      <w:numFmt w:val="bullet"/>
      <w:lvlText w:val="•"/>
      <w:lvlJc w:val="left"/>
      <w:pPr>
        <w:ind w:left="3487" w:hanging="284"/>
      </w:pPr>
      <w:rPr>
        <w:rFonts w:hint="default"/>
      </w:rPr>
    </w:lvl>
    <w:lvl w:ilvl="4">
      <w:start w:val="0"/>
      <w:numFmt w:val="bullet"/>
      <w:lvlText w:val="•"/>
      <w:lvlJc w:val="left"/>
      <w:pPr>
        <w:ind w:left="4561" w:hanging="284"/>
      </w:pPr>
      <w:rPr>
        <w:rFonts w:hint="default"/>
      </w:rPr>
    </w:lvl>
    <w:lvl w:ilvl="5">
      <w:start w:val="0"/>
      <w:numFmt w:val="bullet"/>
      <w:lvlText w:val="•"/>
      <w:lvlJc w:val="left"/>
      <w:pPr>
        <w:ind w:left="5635" w:hanging="284"/>
      </w:pPr>
      <w:rPr>
        <w:rFonts w:hint="default"/>
      </w:rPr>
    </w:lvl>
    <w:lvl w:ilvl="6">
      <w:start w:val="0"/>
      <w:numFmt w:val="bullet"/>
      <w:lvlText w:val="•"/>
      <w:lvlJc w:val="left"/>
      <w:pPr>
        <w:ind w:left="6709" w:hanging="284"/>
      </w:pPr>
      <w:rPr>
        <w:rFonts w:hint="default"/>
      </w:rPr>
    </w:lvl>
    <w:lvl w:ilvl="7">
      <w:start w:val="0"/>
      <w:numFmt w:val="bullet"/>
      <w:lvlText w:val="•"/>
      <w:lvlJc w:val="left"/>
      <w:pPr>
        <w:ind w:left="7783" w:hanging="284"/>
      </w:pPr>
      <w:rPr>
        <w:rFonts w:hint="default"/>
      </w:rPr>
    </w:lvl>
    <w:lvl w:ilvl="8">
      <w:start w:val="0"/>
      <w:numFmt w:val="bullet"/>
      <w:lvlText w:val="•"/>
      <w:lvlJc w:val="left"/>
      <w:pPr>
        <w:ind w:left="8857" w:hanging="284"/>
      </w:pPr>
      <w:rPr>
        <w:rFonts w:hint="default"/>
      </w:rPr>
    </w:lvl>
  </w:abstractNum>
  <w:abstractNum w:abstractNumId="6">
    <w:multiLevelType w:val="hybridMultilevel"/>
    <w:lvl w:ilvl="0">
      <w:start w:val="1"/>
      <w:numFmt w:val="decimal"/>
      <w:lvlText w:val="%1."/>
      <w:lvlJc w:val="left"/>
      <w:pPr>
        <w:ind w:left="569" w:hanging="300"/>
        <w:jc w:val="left"/>
      </w:pPr>
      <w:rPr>
        <w:rFonts w:hint="default" w:ascii="Arial Narrow" w:hAnsi="Arial Narrow" w:eastAsia="Arial Narrow" w:cs="Arial Narrow"/>
        <w:b/>
        <w:bCs/>
        <w:color w:val="231F20"/>
        <w:spacing w:val="-26"/>
        <w:w w:val="100"/>
        <w:sz w:val="28"/>
        <w:szCs w:val="28"/>
      </w:rPr>
    </w:lvl>
    <w:lvl w:ilvl="1">
      <w:start w:val="0"/>
      <w:numFmt w:val="bullet"/>
      <w:lvlText w:val="·"/>
      <w:lvlJc w:val="left"/>
      <w:pPr>
        <w:ind w:left="702" w:hanging="142"/>
      </w:pPr>
      <w:rPr>
        <w:rFonts w:hint="default" w:ascii="Arial" w:hAnsi="Arial" w:eastAsia="Arial" w:cs="Arial"/>
        <w:color w:val="231F20"/>
        <w:w w:val="93"/>
        <w:sz w:val="18"/>
        <w:szCs w:val="18"/>
      </w:rPr>
    </w:lvl>
    <w:lvl w:ilvl="2">
      <w:start w:val="0"/>
      <w:numFmt w:val="bullet"/>
      <w:lvlText w:val="·"/>
      <w:lvlJc w:val="left"/>
      <w:pPr>
        <w:ind w:left="872" w:hanging="142"/>
      </w:pPr>
      <w:rPr>
        <w:rFonts w:hint="default" w:ascii="Arial" w:hAnsi="Arial" w:eastAsia="Arial" w:cs="Arial"/>
        <w:color w:val="231F20"/>
        <w:w w:val="93"/>
        <w:sz w:val="18"/>
        <w:szCs w:val="18"/>
      </w:rPr>
    </w:lvl>
    <w:lvl w:ilvl="3">
      <w:start w:val="0"/>
      <w:numFmt w:val="bullet"/>
      <w:lvlText w:val="·"/>
      <w:lvlJc w:val="left"/>
      <w:pPr>
        <w:ind w:left="4273" w:hanging="142"/>
      </w:pPr>
      <w:rPr>
        <w:rFonts w:hint="default" w:ascii="Arial" w:hAnsi="Arial" w:eastAsia="Arial" w:cs="Arial"/>
        <w:color w:val="231F20"/>
        <w:w w:val="93"/>
        <w:sz w:val="18"/>
        <w:szCs w:val="18"/>
      </w:rPr>
    </w:lvl>
    <w:lvl w:ilvl="4">
      <w:start w:val="0"/>
      <w:numFmt w:val="bullet"/>
      <w:lvlText w:val="•"/>
      <w:lvlJc w:val="left"/>
      <w:pPr>
        <w:ind w:left="4730" w:hanging="142"/>
      </w:pPr>
      <w:rPr>
        <w:rFonts w:hint="default"/>
      </w:rPr>
    </w:lvl>
    <w:lvl w:ilvl="5">
      <w:start w:val="0"/>
      <w:numFmt w:val="bullet"/>
      <w:lvlText w:val="•"/>
      <w:lvlJc w:val="left"/>
      <w:pPr>
        <w:ind w:left="5181" w:hanging="142"/>
      </w:pPr>
      <w:rPr>
        <w:rFonts w:hint="default"/>
      </w:rPr>
    </w:lvl>
    <w:lvl w:ilvl="6">
      <w:start w:val="0"/>
      <w:numFmt w:val="bullet"/>
      <w:lvlText w:val="•"/>
      <w:lvlJc w:val="left"/>
      <w:pPr>
        <w:ind w:left="5631" w:hanging="142"/>
      </w:pPr>
      <w:rPr>
        <w:rFonts w:hint="default"/>
      </w:rPr>
    </w:lvl>
    <w:lvl w:ilvl="7">
      <w:start w:val="0"/>
      <w:numFmt w:val="bullet"/>
      <w:lvlText w:val="•"/>
      <w:lvlJc w:val="left"/>
      <w:pPr>
        <w:ind w:left="6082" w:hanging="142"/>
      </w:pPr>
      <w:rPr>
        <w:rFonts w:hint="default"/>
      </w:rPr>
    </w:lvl>
    <w:lvl w:ilvl="8">
      <w:start w:val="0"/>
      <w:numFmt w:val="bullet"/>
      <w:lvlText w:val="•"/>
      <w:lvlJc w:val="left"/>
      <w:pPr>
        <w:ind w:left="6532" w:hanging="142"/>
      </w:pPr>
      <w:rPr>
        <w:rFonts w:hint="default"/>
      </w:rPr>
    </w:lvl>
  </w:abstractNum>
  <w:abstractNum w:abstractNumId="5">
    <w:multiLevelType w:val="hybridMultilevel"/>
    <w:lvl w:ilvl="0">
      <w:start w:val="1"/>
      <w:numFmt w:val="lowerLetter"/>
      <w:lvlText w:val="%1."/>
      <w:lvlJc w:val="left"/>
      <w:pPr>
        <w:ind w:left="673" w:hanging="284"/>
        <w:jc w:val="left"/>
      </w:pPr>
      <w:rPr>
        <w:rFonts w:hint="default" w:ascii="Arial Narrow" w:hAnsi="Arial Narrow" w:eastAsia="Arial Narrow" w:cs="Arial Narrow"/>
        <w:b/>
        <w:bCs/>
        <w:color w:val="231F20"/>
        <w:spacing w:val="-8"/>
        <w:w w:val="100"/>
        <w:sz w:val="18"/>
        <w:szCs w:val="18"/>
      </w:rPr>
    </w:lvl>
    <w:lvl w:ilvl="1">
      <w:start w:val="0"/>
      <w:numFmt w:val="bullet"/>
      <w:lvlText w:val="•"/>
      <w:lvlJc w:val="left"/>
      <w:pPr>
        <w:ind w:left="1712" w:hanging="284"/>
      </w:pPr>
      <w:rPr>
        <w:rFonts w:hint="default"/>
      </w:rPr>
    </w:lvl>
    <w:lvl w:ilvl="2">
      <w:start w:val="0"/>
      <w:numFmt w:val="bullet"/>
      <w:lvlText w:val="•"/>
      <w:lvlJc w:val="left"/>
      <w:pPr>
        <w:ind w:left="2745" w:hanging="284"/>
      </w:pPr>
      <w:rPr>
        <w:rFonts w:hint="default"/>
      </w:rPr>
    </w:lvl>
    <w:lvl w:ilvl="3">
      <w:start w:val="0"/>
      <w:numFmt w:val="bullet"/>
      <w:lvlText w:val="•"/>
      <w:lvlJc w:val="left"/>
      <w:pPr>
        <w:ind w:left="3777" w:hanging="284"/>
      </w:pPr>
      <w:rPr>
        <w:rFonts w:hint="default"/>
      </w:rPr>
    </w:lvl>
    <w:lvl w:ilvl="4">
      <w:start w:val="0"/>
      <w:numFmt w:val="bullet"/>
      <w:lvlText w:val="•"/>
      <w:lvlJc w:val="left"/>
      <w:pPr>
        <w:ind w:left="4810" w:hanging="284"/>
      </w:pPr>
      <w:rPr>
        <w:rFonts w:hint="default"/>
      </w:rPr>
    </w:lvl>
    <w:lvl w:ilvl="5">
      <w:start w:val="0"/>
      <w:numFmt w:val="bullet"/>
      <w:lvlText w:val="•"/>
      <w:lvlJc w:val="left"/>
      <w:pPr>
        <w:ind w:left="5842" w:hanging="284"/>
      </w:pPr>
      <w:rPr>
        <w:rFonts w:hint="default"/>
      </w:rPr>
    </w:lvl>
    <w:lvl w:ilvl="6">
      <w:start w:val="0"/>
      <w:numFmt w:val="bullet"/>
      <w:lvlText w:val="•"/>
      <w:lvlJc w:val="left"/>
      <w:pPr>
        <w:ind w:left="6875" w:hanging="284"/>
      </w:pPr>
      <w:rPr>
        <w:rFonts w:hint="default"/>
      </w:rPr>
    </w:lvl>
    <w:lvl w:ilvl="7">
      <w:start w:val="0"/>
      <w:numFmt w:val="bullet"/>
      <w:lvlText w:val="•"/>
      <w:lvlJc w:val="left"/>
      <w:pPr>
        <w:ind w:left="7907" w:hanging="284"/>
      </w:pPr>
      <w:rPr>
        <w:rFonts w:hint="default"/>
      </w:rPr>
    </w:lvl>
    <w:lvl w:ilvl="8">
      <w:start w:val="0"/>
      <w:numFmt w:val="bullet"/>
      <w:lvlText w:val="•"/>
      <w:lvlJc w:val="left"/>
      <w:pPr>
        <w:ind w:left="8940" w:hanging="284"/>
      </w:pPr>
      <w:rPr>
        <w:rFonts w:hint="default"/>
      </w:rPr>
    </w:lvl>
  </w:abstractNum>
  <w:abstractNum w:abstractNumId="4">
    <w:multiLevelType w:val="hybridMultilevel"/>
    <w:lvl w:ilvl="0">
      <w:start w:val="1"/>
      <w:numFmt w:val="lowerLetter"/>
      <w:lvlText w:val="%1)"/>
      <w:lvlJc w:val="left"/>
      <w:pPr>
        <w:ind w:left="673" w:hanging="284"/>
        <w:jc w:val="left"/>
      </w:pPr>
      <w:rPr>
        <w:rFonts w:hint="default" w:ascii="Arial Narrow" w:hAnsi="Arial Narrow" w:eastAsia="Arial Narrow" w:cs="Arial Narrow"/>
        <w:color w:val="231F20"/>
        <w:spacing w:val="-16"/>
        <w:w w:val="100"/>
        <w:sz w:val="18"/>
        <w:szCs w:val="18"/>
      </w:rPr>
    </w:lvl>
    <w:lvl w:ilvl="1">
      <w:start w:val="0"/>
      <w:numFmt w:val="bullet"/>
      <w:lvlText w:val="•"/>
      <w:lvlJc w:val="left"/>
      <w:pPr>
        <w:ind w:left="872" w:hanging="142"/>
      </w:pPr>
      <w:rPr>
        <w:rFonts w:hint="default" w:ascii="Arial Narrow" w:hAnsi="Arial Narrow" w:eastAsia="Arial Narrow" w:cs="Arial Narrow"/>
        <w:color w:val="231F20"/>
        <w:w w:val="100"/>
        <w:sz w:val="18"/>
        <w:szCs w:val="18"/>
      </w:rPr>
    </w:lvl>
    <w:lvl w:ilvl="2">
      <w:start w:val="0"/>
      <w:numFmt w:val="bullet"/>
      <w:lvlText w:val="•"/>
      <w:lvlJc w:val="left"/>
      <w:pPr>
        <w:ind w:left="2005" w:hanging="142"/>
      </w:pPr>
      <w:rPr>
        <w:rFonts w:hint="default"/>
      </w:rPr>
    </w:lvl>
    <w:lvl w:ilvl="3">
      <w:start w:val="0"/>
      <w:numFmt w:val="bullet"/>
      <w:lvlText w:val="•"/>
      <w:lvlJc w:val="left"/>
      <w:pPr>
        <w:ind w:left="3130" w:hanging="142"/>
      </w:pPr>
      <w:rPr>
        <w:rFonts w:hint="default"/>
      </w:rPr>
    </w:lvl>
    <w:lvl w:ilvl="4">
      <w:start w:val="0"/>
      <w:numFmt w:val="bullet"/>
      <w:lvlText w:val="•"/>
      <w:lvlJc w:val="left"/>
      <w:pPr>
        <w:ind w:left="4255" w:hanging="142"/>
      </w:pPr>
      <w:rPr>
        <w:rFonts w:hint="default"/>
      </w:rPr>
    </w:lvl>
    <w:lvl w:ilvl="5">
      <w:start w:val="0"/>
      <w:numFmt w:val="bullet"/>
      <w:lvlText w:val="•"/>
      <w:lvlJc w:val="left"/>
      <w:pPr>
        <w:ind w:left="5380" w:hanging="142"/>
      </w:pPr>
      <w:rPr>
        <w:rFonts w:hint="default"/>
      </w:rPr>
    </w:lvl>
    <w:lvl w:ilvl="6">
      <w:start w:val="0"/>
      <w:numFmt w:val="bullet"/>
      <w:lvlText w:val="•"/>
      <w:lvlJc w:val="left"/>
      <w:pPr>
        <w:ind w:left="6505" w:hanging="142"/>
      </w:pPr>
      <w:rPr>
        <w:rFonts w:hint="default"/>
      </w:rPr>
    </w:lvl>
    <w:lvl w:ilvl="7">
      <w:start w:val="0"/>
      <w:numFmt w:val="bullet"/>
      <w:lvlText w:val="•"/>
      <w:lvlJc w:val="left"/>
      <w:pPr>
        <w:ind w:left="7630" w:hanging="142"/>
      </w:pPr>
      <w:rPr>
        <w:rFonts w:hint="default"/>
      </w:rPr>
    </w:lvl>
    <w:lvl w:ilvl="8">
      <w:start w:val="0"/>
      <w:numFmt w:val="bullet"/>
      <w:lvlText w:val="•"/>
      <w:lvlJc w:val="left"/>
      <w:pPr>
        <w:ind w:left="8755" w:hanging="142"/>
      </w:pPr>
      <w:rPr>
        <w:rFonts w:hint="default"/>
      </w:rPr>
    </w:lvl>
  </w:abstractNum>
  <w:abstractNum w:abstractNumId="3">
    <w:multiLevelType w:val="hybridMultilevel"/>
    <w:lvl w:ilvl="0">
      <w:start w:val="1"/>
      <w:numFmt w:val="decimal"/>
      <w:lvlText w:val="%1."/>
      <w:lvlJc w:val="left"/>
      <w:pPr>
        <w:ind w:left="3986" w:hanging="195"/>
        <w:jc w:val="right"/>
      </w:pPr>
      <w:rPr>
        <w:rFonts w:hint="default" w:ascii="Arial Narrow" w:hAnsi="Arial Narrow" w:eastAsia="Arial Narrow" w:cs="Arial Narrow"/>
        <w:b/>
        <w:bCs/>
        <w:color w:val="231F20"/>
        <w:spacing w:val="0"/>
        <w:w w:val="100"/>
        <w:sz w:val="20"/>
        <w:szCs w:val="20"/>
      </w:rPr>
    </w:lvl>
    <w:lvl w:ilvl="1">
      <w:start w:val="0"/>
      <w:numFmt w:val="bullet"/>
      <w:lvlText w:val="•"/>
      <w:lvlJc w:val="left"/>
      <w:pPr>
        <w:ind w:left="4273" w:hanging="142"/>
      </w:pPr>
      <w:rPr>
        <w:rFonts w:hint="default" w:ascii="Arial Narrow" w:hAnsi="Arial Narrow" w:eastAsia="Arial Narrow" w:cs="Arial Narrow"/>
        <w:color w:val="231F20"/>
        <w:spacing w:val="-2"/>
        <w:w w:val="100"/>
        <w:sz w:val="18"/>
        <w:szCs w:val="18"/>
      </w:rPr>
    </w:lvl>
    <w:lvl w:ilvl="2">
      <w:start w:val="0"/>
      <w:numFmt w:val="bullet"/>
      <w:lvlText w:val="•"/>
      <w:lvlJc w:val="left"/>
      <w:pPr>
        <w:ind w:left="5027" w:hanging="142"/>
      </w:pPr>
      <w:rPr>
        <w:rFonts w:hint="default"/>
      </w:rPr>
    </w:lvl>
    <w:lvl w:ilvl="3">
      <w:start w:val="0"/>
      <w:numFmt w:val="bullet"/>
      <w:lvlText w:val="•"/>
      <w:lvlJc w:val="left"/>
      <w:pPr>
        <w:ind w:left="5774" w:hanging="142"/>
      </w:pPr>
      <w:rPr>
        <w:rFonts w:hint="default"/>
      </w:rPr>
    </w:lvl>
    <w:lvl w:ilvl="4">
      <w:start w:val="0"/>
      <w:numFmt w:val="bullet"/>
      <w:lvlText w:val="•"/>
      <w:lvlJc w:val="left"/>
      <w:pPr>
        <w:ind w:left="6521" w:hanging="142"/>
      </w:pPr>
      <w:rPr>
        <w:rFonts w:hint="default"/>
      </w:rPr>
    </w:lvl>
    <w:lvl w:ilvl="5">
      <w:start w:val="0"/>
      <w:numFmt w:val="bullet"/>
      <w:lvlText w:val="•"/>
      <w:lvlJc w:val="left"/>
      <w:pPr>
        <w:ind w:left="7269" w:hanging="142"/>
      </w:pPr>
      <w:rPr>
        <w:rFonts w:hint="default"/>
      </w:rPr>
    </w:lvl>
    <w:lvl w:ilvl="6">
      <w:start w:val="0"/>
      <w:numFmt w:val="bullet"/>
      <w:lvlText w:val="•"/>
      <w:lvlJc w:val="left"/>
      <w:pPr>
        <w:ind w:left="8016" w:hanging="142"/>
      </w:pPr>
      <w:rPr>
        <w:rFonts w:hint="default"/>
      </w:rPr>
    </w:lvl>
    <w:lvl w:ilvl="7">
      <w:start w:val="0"/>
      <w:numFmt w:val="bullet"/>
      <w:lvlText w:val="•"/>
      <w:lvlJc w:val="left"/>
      <w:pPr>
        <w:ind w:left="8763" w:hanging="142"/>
      </w:pPr>
      <w:rPr>
        <w:rFonts w:hint="default"/>
      </w:rPr>
    </w:lvl>
    <w:lvl w:ilvl="8">
      <w:start w:val="0"/>
      <w:numFmt w:val="bullet"/>
      <w:lvlText w:val="•"/>
      <w:lvlJc w:val="left"/>
      <w:pPr>
        <w:ind w:left="9510" w:hanging="142"/>
      </w:pPr>
      <w:rPr>
        <w:rFonts w:hint="default"/>
      </w:rPr>
    </w:lvl>
  </w:abstractNum>
  <w:abstractNum w:abstractNumId="2">
    <w:multiLevelType w:val="hybridMultilevel"/>
    <w:lvl w:ilvl="0">
      <w:start w:val="0"/>
      <w:numFmt w:val="bullet"/>
      <w:lvlText w:val="•"/>
      <w:lvlJc w:val="left"/>
      <w:pPr>
        <w:ind w:left="872" w:hanging="142"/>
      </w:pPr>
      <w:rPr>
        <w:rFonts w:hint="default" w:ascii="Arial Narrow" w:hAnsi="Arial Narrow" w:eastAsia="Arial Narrow" w:cs="Arial Narrow"/>
        <w:color w:val="231F20"/>
        <w:spacing w:val="-2"/>
        <w:w w:val="100"/>
        <w:sz w:val="18"/>
        <w:szCs w:val="18"/>
      </w:rPr>
    </w:lvl>
    <w:lvl w:ilvl="1">
      <w:start w:val="0"/>
      <w:numFmt w:val="bullet"/>
      <w:lvlText w:val="•"/>
      <w:lvlJc w:val="left"/>
      <w:pPr>
        <w:ind w:left="4075" w:hanging="284"/>
      </w:pPr>
      <w:rPr>
        <w:rFonts w:hint="default" w:ascii="Arial Narrow" w:hAnsi="Arial Narrow" w:eastAsia="Arial Narrow" w:cs="Arial Narrow"/>
        <w:color w:val="231F20"/>
        <w:spacing w:val="-13"/>
        <w:w w:val="100"/>
        <w:sz w:val="18"/>
        <w:szCs w:val="18"/>
      </w:rPr>
    </w:lvl>
    <w:lvl w:ilvl="2">
      <w:start w:val="0"/>
      <w:numFmt w:val="bullet"/>
      <w:lvlText w:val="•"/>
      <w:lvlJc w:val="left"/>
      <w:pPr>
        <w:ind w:left="4429" w:hanging="284"/>
      </w:pPr>
      <w:rPr>
        <w:rFonts w:hint="default"/>
      </w:rPr>
    </w:lvl>
    <w:lvl w:ilvl="3">
      <w:start w:val="0"/>
      <w:numFmt w:val="bullet"/>
      <w:lvlText w:val="•"/>
      <w:lvlJc w:val="left"/>
      <w:pPr>
        <w:ind w:left="4779" w:hanging="284"/>
      </w:pPr>
      <w:rPr>
        <w:rFonts w:hint="default"/>
      </w:rPr>
    </w:lvl>
    <w:lvl w:ilvl="4">
      <w:start w:val="0"/>
      <w:numFmt w:val="bullet"/>
      <w:lvlText w:val="•"/>
      <w:lvlJc w:val="left"/>
      <w:pPr>
        <w:ind w:left="5128" w:hanging="284"/>
      </w:pPr>
      <w:rPr>
        <w:rFonts w:hint="default"/>
      </w:rPr>
    </w:lvl>
    <w:lvl w:ilvl="5">
      <w:start w:val="0"/>
      <w:numFmt w:val="bullet"/>
      <w:lvlText w:val="•"/>
      <w:lvlJc w:val="left"/>
      <w:pPr>
        <w:ind w:left="5478" w:hanging="284"/>
      </w:pPr>
      <w:rPr>
        <w:rFonts w:hint="default"/>
      </w:rPr>
    </w:lvl>
    <w:lvl w:ilvl="6">
      <w:start w:val="0"/>
      <w:numFmt w:val="bullet"/>
      <w:lvlText w:val="•"/>
      <w:lvlJc w:val="left"/>
      <w:pPr>
        <w:ind w:left="5827" w:hanging="284"/>
      </w:pPr>
      <w:rPr>
        <w:rFonts w:hint="default"/>
      </w:rPr>
    </w:lvl>
    <w:lvl w:ilvl="7">
      <w:start w:val="0"/>
      <w:numFmt w:val="bullet"/>
      <w:lvlText w:val="•"/>
      <w:lvlJc w:val="left"/>
      <w:pPr>
        <w:ind w:left="6177" w:hanging="284"/>
      </w:pPr>
      <w:rPr>
        <w:rFonts w:hint="default"/>
      </w:rPr>
    </w:lvl>
    <w:lvl w:ilvl="8">
      <w:start w:val="0"/>
      <w:numFmt w:val="bullet"/>
      <w:lvlText w:val="•"/>
      <w:lvlJc w:val="left"/>
      <w:pPr>
        <w:ind w:left="6526" w:hanging="284"/>
      </w:pPr>
      <w:rPr>
        <w:rFonts w:hint="default"/>
      </w:rPr>
    </w:lvl>
  </w:abstractNum>
  <w:abstractNum w:abstractNumId="0">
    <w:multiLevelType w:val="hybridMultilevel"/>
    <w:lvl w:ilvl="0">
      <w:start w:val="1"/>
      <w:numFmt w:val="decimal"/>
      <w:lvlText w:val="%1."/>
      <w:lvlJc w:val="left"/>
      <w:pPr>
        <w:ind w:left="673" w:hanging="284"/>
        <w:jc w:val="left"/>
      </w:pPr>
      <w:rPr>
        <w:rFonts w:hint="default" w:ascii="Arial Narrow" w:hAnsi="Arial Narrow" w:eastAsia="Arial Narrow" w:cs="Arial Narrow"/>
        <w:color w:val="231F20"/>
        <w:spacing w:val="0"/>
        <w:w w:val="100"/>
        <w:sz w:val="20"/>
        <w:szCs w:val="20"/>
      </w:rPr>
    </w:lvl>
    <w:lvl w:ilvl="1">
      <w:start w:val="0"/>
      <w:numFmt w:val="bullet"/>
      <w:lvlText w:val="•"/>
      <w:lvlJc w:val="left"/>
      <w:pPr>
        <w:ind w:left="1316" w:hanging="284"/>
      </w:pPr>
      <w:rPr>
        <w:rFonts w:hint="default"/>
      </w:rPr>
    </w:lvl>
    <w:lvl w:ilvl="2">
      <w:start w:val="0"/>
      <w:numFmt w:val="bullet"/>
      <w:lvlText w:val="•"/>
      <w:lvlJc w:val="left"/>
      <w:pPr>
        <w:ind w:left="1953" w:hanging="284"/>
      </w:pPr>
      <w:rPr>
        <w:rFonts w:hint="default"/>
      </w:rPr>
    </w:lvl>
    <w:lvl w:ilvl="3">
      <w:start w:val="0"/>
      <w:numFmt w:val="bullet"/>
      <w:lvlText w:val="•"/>
      <w:lvlJc w:val="left"/>
      <w:pPr>
        <w:ind w:left="2590" w:hanging="284"/>
      </w:pPr>
      <w:rPr>
        <w:rFonts w:hint="default"/>
      </w:rPr>
    </w:lvl>
    <w:lvl w:ilvl="4">
      <w:start w:val="0"/>
      <w:numFmt w:val="bullet"/>
      <w:lvlText w:val="•"/>
      <w:lvlJc w:val="left"/>
      <w:pPr>
        <w:ind w:left="3226" w:hanging="284"/>
      </w:pPr>
      <w:rPr>
        <w:rFonts w:hint="default"/>
      </w:rPr>
    </w:lvl>
    <w:lvl w:ilvl="5">
      <w:start w:val="0"/>
      <w:numFmt w:val="bullet"/>
      <w:lvlText w:val="•"/>
      <w:lvlJc w:val="left"/>
      <w:pPr>
        <w:ind w:left="3863" w:hanging="284"/>
      </w:pPr>
      <w:rPr>
        <w:rFonts w:hint="default"/>
      </w:rPr>
    </w:lvl>
    <w:lvl w:ilvl="6">
      <w:start w:val="0"/>
      <w:numFmt w:val="bullet"/>
      <w:lvlText w:val="•"/>
      <w:lvlJc w:val="left"/>
      <w:pPr>
        <w:ind w:left="4500" w:hanging="284"/>
      </w:pPr>
      <w:rPr>
        <w:rFonts w:hint="default"/>
      </w:rPr>
    </w:lvl>
    <w:lvl w:ilvl="7">
      <w:start w:val="0"/>
      <w:numFmt w:val="bullet"/>
      <w:lvlText w:val="•"/>
      <w:lvlJc w:val="left"/>
      <w:pPr>
        <w:ind w:left="5137" w:hanging="284"/>
      </w:pPr>
      <w:rPr>
        <w:rFonts w:hint="default"/>
      </w:rPr>
    </w:lvl>
    <w:lvl w:ilvl="8">
      <w:start w:val="0"/>
      <w:numFmt w:val="bullet"/>
      <w:lvlText w:val="•"/>
      <w:lvlJc w:val="left"/>
      <w:pPr>
        <w:ind w:left="5773" w:hanging="284"/>
      </w:pPr>
      <w:rPr>
        <w:rFonts w:hint="default"/>
      </w:rPr>
    </w:lvl>
  </w:abstractNum>
  <w:num w:numId="30">
    <w:abstractNumId w:val="29"/>
  </w:num>
  <w:num w:numId="29">
    <w:abstractNumId w:val="28"/>
  </w:num>
  <w:num w:numId="27">
    <w:abstractNumId w:val="26"/>
  </w:num>
  <w:num w:numId="2">
    <w:abstractNumId w:val="1"/>
  </w:num>
  <w:num w:numId="32">
    <w:abstractNumId w:val="31"/>
  </w:num>
  <w:num w:numId="31">
    <w:abstractNumId w:val="30"/>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rPr>
  </w:style>
  <w:style w:styleId="TOC1" w:type="paragraph">
    <w:name w:val="TOC 1"/>
    <w:basedOn w:val="Normal"/>
    <w:uiPriority w:val="1"/>
    <w:qFormat/>
    <w:pPr>
      <w:spacing w:before="370"/>
      <w:ind w:left="390"/>
    </w:pPr>
    <w:rPr>
      <w:rFonts w:ascii="Arial Narrow" w:hAnsi="Arial Narrow" w:eastAsia="Arial Narrow" w:cs="Arial Narrow"/>
      <w:sz w:val="20"/>
      <w:szCs w:val="20"/>
    </w:rPr>
  </w:style>
  <w:style w:styleId="BodyText" w:type="paragraph">
    <w:name w:val="Body Text"/>
    <w:basedOn w:val="Normal"/>
    <w:uiPriority w:val="1"/>
    <w:qFormat/>
    <w:pPr/>
    <w:rPr>
      <w:rFonts w:ascii="Arial Narrow" w:hAnsi="Arial Narrow" w:eastAsia="Arial Narrow" w:cs="Arial Narrow"/>
      <w:sz w:val="18"/>
      <w:szCs w:val="18"/>
    </w:rPr>
  </w:style>
  <w:style w:styleId="Heading1" w:type="paragraph">
    <w:name w:val="Heading 1"/>
    <w:basedOn w:val="Normal"/>
    <w:uiPriority w:val="1"/>
    <w:qFormat/>
    <w:pPr>
      <w:ind w:left="390"/>
      <w:outlineLvl w:val="1"/>
    </w:pPr>
    <w:rPr>
      <w:rFonts w:ascii="Arial Narrow" w:hAnsi="Arial Narrow" w:eastAsia="Arial Narrow" w:cs="Arial Narrow"/>
      <w:b/>
      <w:bCs/>
      <w:sz w:val="28"/>
      <w:szCs w:val="28"/>
    </w:rPr>
  </w:style>
  <w:style w:styleId="Heading2" w:type="paragraph">
    <w:name w:val="Heading 2"/>
    <w:basedOn w:val="Normal"/>
    <w:uiPriority w:val="1"/>
    <w:qFormat/>
    <w:pPr>
      <w:spacing w:before="100"/>
      <w:ind w:left="390"/>
      <w:outlineLvl w:val="2"/>
    </w:pPr>
    <w:rPr>
      <w:rFonts w:ascii="Arial Narrow" w:hAnsi="Arial Narrow" w:eastAsia="Arial Narrow" w:cs="Arial Narrow"/>
      <w:b/>
      <w:bCs/>
      <w:sz w:val="24"/>
      <w:szCs w:val="24"/>
    </w:rPr>
  </w:style>
  <w:style w:styleId="Heading3" w:type="paragraph">
    <w:name w:val="Heading 3"/>
    <w:basedOn w:val="Normal"/>
    <w:uiPriority w:val="1"/>
    <w:qFormat/>
    <w:pPr>
      <w:spacing w:before="1"/>
      <w:ind w:left="3986" w:hanging="195"/>
      <w:outlineLvl w:val="3"/>
    </w:pPr>
    <w:rPr>
      <w:rFonts w:ascii="Arial Narrow" w:hAnsi="Arial Narrow" w:eastAsia="Arial Narrow" w:cs="Arial Narrow"/>
      <w:b/>
      <w:bCs/>
      <w:sz w:val="20"/>
      <w:szCs w:val="20"/>
    </w:rPr>
  </w:style>
  <w:style w:styleId="Heading4" w:type="paragraph">
    <w:name w:val="Heading 4"/>
    <w:basedOn w:val="Normal"/>
    <w:uiPriority w:val="1"/>
    <w:qFormat/>
    <w:pPr>
      <w:ind w:left="390"/>
      <w:outlineLvl w:val="4"/>
    </w:pPr>
    <w:rPr>
      <w:rFonts w:ascii="Arial Narrow" w:hAnsi="Arial Narrow" w:eastAsia="Arial Narrow" w:cs="Arial Narrow"/>
      <w:b/>
      <w:bCs/>
      <w:i/>
      <w:sz w:val="20"/>
      <w:szCs w:val="20"/>
    </w:rPr>
  </w:style>
  <w:style w:styleId="Heading5" w:type="paragraph">
    <w:name w:val="Heading 5"/>
    <w:basedOn w:val="Normal"/>
    <w:uiPriority w:val="1"/>
    <w:qFormat/>
    <w:pPr>
      <w:ind w:left="390"/>
      <w:outlineLvl w:val="5"/>
    </w:pPr>
    <w:rPr>
      <w:rFonts w:ascii="Arial Narrow" w:hAnsi="Arial Narrow" w:eastAsia="Arial Narrow" w:cs="Arial Narrow"/>
      <w:b/>
      <w:bCs/>
      <w:sz w:val="18"/>
      <w:szCs w:val="18"/>
    </w:rPr>
  </w:style>
  <w:style w:styleId="ListParagraph" w:type="paragraph">
    <w:name w:val="List Paragraph"/>
    <w:basedOn w:val="Normal"/>
    <w:uiPriority w:val="1"/>
    <w:qFormat/>
    <w:pPr>
      <w:spacing w:before="93"/>
      <w:ind w:left="872" w:hanging="142"/>
    </w:pPr>
    <w:rPr>
      <w:rFonts w:ascii="Arial Narrow" w:hAnsi="Arial Narrow" w:eastAsia="Arial Narrow" w:cs="Arial Narrow"/>
    </w:rPr>
  </w:style>
  <w:style w:styleId="TableParagraph" w:type="paragraph">
    <w:name w:val="Table Paragraph"/>
    <w:basedOn w:val="Normal"/>
    <w:uiPriority w:val="1"/>
    <w:qFormat/>
    <w:pPr/>
    <w:rPr>
      <w:rFonts w:ascii="Arial Narrow" w:hAnsi="Arial Narrow" w:eastAsia="Arial Narrow" w:cs="Arial Narro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council@marrickville.nsw.gov.au" TargetMode="External"/><Relationship Id="rId8" Type="http://schemas.openxmlformats.org/officeDocument/2006/relationships/hyperlink" Target="http://www.marrickville.nsw.gov.au/" TargetMode="Externa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2018-03-22T23:00:45Z</dcterms:created>
  <dcterms:modified xsi:type="dcterms:W3CDTF">2018-03-22T23:00:45Z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2010-11-03T00:00:00Z</vt:filetime>
  </property>
  <property fmtid="{D5CDD505-2E9C-101B-9397-08002B2CF9AE}" pid="3" name="Creator">
    <vt:lpwstr>Adobe InDesign CS5 (7.0)</vt:lpwstr>
  </property>
  <property fmtid="{D5CDD505-2E9C-101B-9397-08002B2CF9AE}" pid="4" name="LastSaved">
    <vt:filetime>2018-03-22T00:00:00Z</vt:filetime>
  </property>
</Properties>
</file>